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4027F2" w14:textId="77777777" w:rsidR="00325FB4" w:rsidRDefault="00325FB4">
      <w:pPr>
        <w:spacing w:after="160" w:line="259" w:lineRule="auto"/>
      </w:pPr>
    </w:p>
    <w:p w14:paraId="643E37F3" w14:textId="77777777" w:rsidR="00325FB4" w:rsidRDefault="00325FB4">
      <w:pPr>
        <w:spacing w:after="160" w:line="259" w:lineRule="auto"/>
      </w:pPr>
    </w:p>
    <w:p w14:paraId="7BD60D49" w14:textId="56A63EB8" w:rsidR="00325FB4" w:rsidRDefault="00325FB4">
      <w:pPr>
        <w:spacing w:after="160" w:line="259" w:lineRule="auto"/>
      </w:pPr>
    </w:p>
    <w:p w14:paraId="42C0FF45" w14:textId="77777777" w:rsidR="00325FB4" w:rsidRDefault="00325FB4">
      <w:pPr>
        <w:spacing w:after="160" w:line="259" w:lineRule="auto"/>
      </w:pPr>
    </w:p>
    <w:p w14:paraId="773DA347" w14:textId="77777777" w:rsidR="00325FB4" w:rsidRDefault="00325FB4">
      <w:pPr>
        <w:spacing w:after="160" w:line="259" w:lineRule="auto"/>
      </w:pPr>
    </w:p>
    <w:p w14:paraId="4A89EDD2" w14:textId="77777777" w:rsidR="000E7FE1" w:rsidRDefault="000E7FE1" w:rsidP="00325FB4">
      <w:pPr>
        <w:pStyle w:val="Heading2"/>
        <w:spacing w:before="0"/>
        <w:rPr>
          <w:sz w:val="40"/>
          <w:szCs w:val="40"/>
        </w:rPr>
      </w:pPr>
    </w:p>
    <w:p w14:paraId="24101B36" w14:textId="49472EF2" w:rsidR="005B04E2" w:rsidRPr="003731A5" w:rsidRDefault="00371030" w:rsidP="00A07FFC">
      <w:pPr>
        <w:pStyle w:val="Heading2"/>
        <w:spacing w:before="0"/>
        <w:rPr>
          <w:b/>
          <w:bCs/>
          <w:sz w:val="40"/>
          <w:szCs w:val="40"/>
        </w:rPr>
      </w:pPr>
      <w:bookmarkStart w:id="0" w:name="_Hlk68256976"/>
      <w:r w:rsidRPr="003731A5">
        <w:rPr>
          <w:b/>
          <w:bCs/>
          <w:sz w:val="40"/>
          <w:szCs w:val="40"/>
        </w:rPr>
        <w:t xml:space="preserve">Secure Acquisition Case </w:t>
      </w:r>
      <w:r w:rsidR="003731A5" w:rsidRPr="003731A5">
        <w:rPr>
          <w:b/>
          <w:bCs/>
          <w:sz w:val="40"/>
          <w:szCs w:val="40"/>
        </w:rPr>
        <w:t xml:space="preserve">Study </w:t>
      </w:r>
      <w:r w:rsidR="00A23289" w:rsidRPr="003731A5">
        <w:rPr>
          <w:b/>
          <w:bCs/>
          <w:sz w:val="40"/>
          <w:szCs w:val="40"/>
        </w:rPr>
        <w:t>4</w:t>
      </w:r>
      <w:r w:rsidRPr="003731A5">
        <w:rPr>
          <w:b/>
          <w:bCs/>
          <w:sz w:val="40"/>
          <w:szCs w:val="40"/>
        </w:rPr>
        <w:t xml:space="preserve">: </w:t>
      </w:r>
      <w:r w:rsidR="00A07FFC" w:rsidRPr="003731A5">
        <w:rPr>
          <w:b/>
          <w:bCs/>
          <w:sz w:val="40"/>
          <w:szCs w:val="40"/>
        </w:rPr>
        <w:t>Supplier Capability Evaluation</w:t>
      </w:r>
    </w:p>
    <w:bookmarkEnd w:id="0"/>
    <w:p w14:paraId="3AFC7C7C" w14:textId="77777777" w:rsidR="00A07FFC" w:rsidRPr="003731A5" w:rsidRDefault="00A07FFC" w:rsidP="00A07FFC">
      <w:pPr>
        <w:rPr>
          <w:rFonts w:eastAsia="Arial"/>
          <w:b/>
          <w:bCs/>
          <w:color w:val="2E74B5" w:themeColor="accent1" w:themeShade="BF"/>
          <w:sz w:val="40"/>
          <w:szCs w:val="40"/>
        </w:rPr>
      </w:pPr>
    </w:p>
    <w:p w14:paraId="2C5B2334" w14:textId="74513D08" w:rsidR="00325FB4" w:rsidRPr="003731A5" w:rsidRDefault="00371030" w:rsidP="00A6150B">
      <w:pPr>
        <w:pStyle w:val="Heading2"/>
        <w:spacing w:before="0"/>
        <w:rPr>
          <w:b/>
          <w:bCs/>
          <w:sz w:val="40"/>
          <w:szCs w:val="40"/>
        </w:rPr>
      </w:pPr>
      <w:r w:rsidRPr="003731A5">
        <w:rPr>
          <w:rFonts w:eastAsia="Arial"/>
          <w:b/>
          <w:bCs/>
          <w:sz w:val="40"/>
          <w:szCs w:val="40"/>
        </w:rPr>
        <w:t>Dan Shoemaker, University of Detroit Mercy</w:t>
      </w:r>
    </w:p>
    <w:p w14:paraId="37133866" w14:textId="77777777" w:rsidR="00325FB4" w:rsidRDefault="00325FB4">
      <w:pPr>
        <w:spacing w:after="160" w:line="259" w:lineRule="auto"/>
      </w:pPr>
    </w:p>
    <w:p w14:paraId="541F8030" w14:textId="77777777" w:rsidR="00325FB4" w:rsidRDefault="00325FB4">
      <w:pPr>
        <w:spacing w:after="160" w:line="259" w:lineRule="auto"/>
      </w:pPr>
    </w:p>
    <w:p w14:paraId="391A7604" w14:textId="77777777" w:rsidR="00325FB4" w:rsidRDefault="00325FB4">
      <w:pPr>
        <w:spacing w:after="160" w:line="259" w:lineRule="auto"/>
      </w:pPr>
    </w:p>
    <w:p w14:paraId="5889A98D" w14:textId="77777777" w:rsidR="00325FB4" w:rsidRDefault="00325FB4">
      <w:pPr>
        <w:spacing w:after="160" w:line="259" w:lineRule="auto"/>
      </w:pPr>
    </w:p>
    <w:p w14:paraId="42BCE6DC" w14:textId="77777777" w:rsidR="00325FB4" w:rsidRDefault="00325FB4">
      <w:pPr>
        <w:spacing w:after="160" w:line="259" w:lineRule="auto"/>
      </w:pPr>
    </w:p>
    <w:p w14:paraId="593D3F36" w14:textId="38D399E4" w:rsidR="00325FB4" w:rsidRPr="00325FB4" w:rsidRDefault="00DF7F20">
      <w:pPr>
        <w:spacing w:after="160" w:line="259" w:lineRule="auto"/>
        <w:rPr>
          <w:rFonts w:asciiTheme="minorHAnsi" w:hAnsiTheme="minorHAnsi" w:cstheme="minorHAnsi"/>
          <w:b/>
          <w:bCs/>
        </w:rPr>
      </w:pPr>
      <w:r>
        <w:rPr>
          <w:rFonts w:asciiTheme="minorHAnsi" w:hAnsiTheme="minorHAnsi" w:cstheme="minorHAnsi"/>
          <w:b/>
          <w:bCs/>
        </w:rPr>
        <w:t>April</w:t>
      </w:r>
      <w:r w:rsidR="00A6150B">
        <w:rPr>
          <w:rFonts w:asciiTheme="minorHAnsi" w:hAnsiTheme="minorHAnsi" w:cstheme="minorHAnsi"/>
          <w:b/>
          <w:bCs/>
        </w:rPr>
        <w:t xml:space="preserve"> 2021</w:t>
      </w:r>
      <w:r w:rsidR="00325FB4" w:rsidRPr="00325FB4">
        <w:rPr>
          <w:rFonts w:asciiTheme="minorHAnsi" w:hAnsiTheme="minorHAnsi" w:cstheme="minorHAnsi"/>
          <w:b/>
          <w:bCs/>
        </w:rPr>
        <w:br w:type="page"/>
      </w:r>
    </w:p>
    <w:p w14:paraId="15D0BE3D" w14:textId="77777777" w:rsidR="003731A5" w:rsidRPr="00544BC7" w:rsidRDefault="003731A5" w:rsidP="003731A5">
      <w:pPr>
        <w:pStyle w:val="Heading2"/>
        <w:rPr>
          <w:rFonts w:ascii="Times New Roman" w:eastAsia="Times New Roman" w:hAnsi="Times New Roman" w:cs="Times New Roman"/>
          <w:color w:val="auto"/>
          <w:sz w:val="24"/>
          <w:szCs w:val="24"/>
        </w:rPr>
      </w:pPr>
      <w:r w:rsidRPr="00544BC7">
        <w:rPr>
          <w:rFonts w:ascii="Times New Roman" w:eastAsia="Times New Roman" w:hAnsi="Times New Roman" w:cs="Times New Roman"/>
          <w:color w:val="auto"/>
          <w:sz w:val="24"/>
          <w:szCs w:val="24"/>
        </w:rPr>
        <w:lastRenderedPageBreak/>
        <w:t xml:space="preserve">Copyright 2021 Dan Shoemaker. All Rights Reserved. </w:t>
      </w:r>
    </w:p>
    <w:p w14:paraId="041EDA1E" w14:textId="77777777" w:rsidR="003731A5" w:rsidRPr="00544BC7" w:rsidRDefault="003731A5" w:rsidP="003731A5">
      <w:pPr>
        <w:pStyle w:val="Heading2"/>
        <w:rPr>
          <w:rFonts w:ascii="Times New Roman" w:eastAsia="Times New Roman" w:hAnsi="Times New Roman" w:cs="Times New Roman"/>
          <w:color w:val="auto"/>
          <w:sz w:val="24"/>
          <w:szCs w:val="24"/>
        </w:rPr>
      </w:pPr>
    </w:p>
    <w:p w14:paraId="2EA26DF7" w14:textId="77777777" w:rsidR="003731A5" w:rsidRPr="00544BC7" w:rsidRDefault="003731A5" w:rsidP="003731A5">
      <w:pPr>
        <w:pStyle w:val="Heading2"/>
        <w:rPr>
          <w:rFonts w:ascii="Times New Roman" w:eastAsia="Times New Roman" w:hAnsi="Times New Roman" w:cs="Times New Roman"/>
          <w:color w:val="auto"/>
          <w:sz w:val="24"/>
          <w:szCs w:val="24"/>
        </w:rPr>
      </w:pPr>
      <w:r w:rsidRPr="00544BC7">
        <w:rPr>
          <w:rFonts w:ascii="Times New Roman" w:eastAsia="Times New Roman" w:hAnsi="Times New Roman" w:cs="Times New Roman"/>
          <w:color w:val="auto"/>
          <w:sz w:val="24"/>
          <w:szCs w:val="24"/>
        </w:rPr>
        <w:t xml:space="preserve">NO WARRANTY </w:t>
      </w:r>
    </w:p>
    <w:p w14:paraId="286177FF" w14:textId="77777777" w:rsidR="003731A5" w:rsidRPr="00544BC7" w:rsidRDefault="003731A5" w:rsidP="003731A5">
      <w:pPr>
        <w:pStyle w:val="Heading2"/>
        <w:rPr>
          <w:rFonts w:ascii="Times New Roman" w:eastAsia="Times New Roman" w:hAnsi="Times New Roman" w:cs="Times New Roman"/>
          <w:color w:val="auto"/>
          <w:sz w:val="24"/>
          <w:szCs w:val="24"/>
        </w:rPr>
      </w:pPr>
      <w:r w:rsidRPr="00544BC7">
        <w:rPr>
          <w:rFonts w:ascii="Times New Roman" w:eastAsia="Times New Roman" w:hAnsi="Times New Roman" w:cs="Times New Roman"/>
          <w:color w:val="auto"/>
          <w:sz w:val="24"/>
          <w:szCs w:val="24"/>
        </w:rPr>
        <w:t xml:space="preserve">THIS MATERIAL IS FURNISHED ON AN "AS-IS" BASIS. THE AUTHOR MAKES NO WARRANTIES OF ANY KIND, EITHER EXPRESSED OR IMPLIED, AS TO ANY MATTER INCLUDING, BUT NOT LIMITED TO, WARRANTY OF FITNESS FOR PURPOSE OR MERCHANTABILITY, EXCLUSIVITY, OR RESULTS OBTAINED FROM USE OF THE MATERIAL. THE AUTHOR DOES NOT MAKE ANY WARRANTY OF ANY KIND WITH RESPECT TO FREEDOM FROM PATENT, TRADEMARK, OR COPYRIGHT INFRINGEMENT. </w:t>
      </w:r>
    </w:p>
    <w:p w14:paraId="3E452E41" w14:textId="77777777" w:rsidR="003731A5" w:rsidRPr="00544BC7" w:rsidRDefault="003731A5" w:rsidP="003731A5">
      <w:pPr>
        <w:pStyle w:val="Heading2"/>
        <w:rPr>
          <w:rFonts w:ascii="Times New Roman" w:eastAsia="Times New Roman" w:hAnsi="Times New Roman" w:cs="Times New Roman"/>
          <w:color w:val="auto"/>
          <w:sz w:val="24"/>
          <w:szCs w:val="24"/>
        </w:rPr>
      </w:pPr>
    </w:p>
    <w:p w14:paraId="7F0C4B6D" w14:textId="77777777" w:rsidR="003731A5" w:rsidRPr="00544BC7" w:rsidRDefault="003731A5" w:rsidP="003731A5">
      <w:pPr>
        <w:pStyle w:val="Heading2"/>
        <w:rPr>
          <w:rFonts w:ascii="Times New Roman" w:eastAsia="Times New Roman" w:hAnsi="Times New Roman" w:cs="Times New Roman"/>
          <w:color w:val="auto"/>
          <w:sz w:val="24"/>
          <w:szCs w:val="24"/>
        </w:rPr>
      </w:pPr>
      <w:r w:rsidRPr="00544BC7">
        <w:rPr>
          <w:rFonts w:ascii="Times New Roman" w:eastAsia="Times New Roman" w:hAnsi="Times New Roman" w:cs="Times New Roman"/>
          <w:color w:val="auto"/>
          <w:sz w:val="24"/>
          <w:szCs w:val="24"/>
        </w:rPr>
        <w:t xml:space="preserve">Use of any trademarks in this report is not intended in any way to infringe on the rights of the trademark holder. </w:t>
      </w:r>
    </w:p>
    <w:p w14:paraId="15B6904F" w14:textId="77777777" w:rsidR="003731A5" w:rsidRPr="00544BC7" w:rsidRDefault="003731A5" w:rsidP="003731A5">
      <w:pPr>
        <w:pStyle w:val="Heading2"/>
        <w:rPr>
          <w:rFonts w:ascii="Times New Roman" w:eastAsia="Times New Roman" w:hAnsi="Times New Roman" w:cs="Times New Roman"/>
          <w:color w:val="auto"/>
          <w:sz w:val="24"/>
          <w:szCs w:val="24"/>
        </w:rPr>
      </w:pPr>
    </w:p>
    <w:p w14:paraId="17CAD5FB" w14:textId="77777777" w:rsidR="003731A5" w:rsidRPr="00544BC7" w:rsidRDefault="003731A5" w:rsidP="003731A5">
      <w:pPr>
        <w:pStyle w:val="Heading2"/>
        <w:rPr>
          <w:rFonts w:ascii="Times New Roman" w:eastAsia="Times New Roman" w:hAnsi="Times New Roman" w:cs="Times New Roman"/>
          <w:color w:val="auto"/>
          <w:sz w:val="24"/>
          <w:szCs w:val="24"/>
        </w:rPr>
      </w:pPr>
      <w:r w:rsidRPr="00544BC7">
        <w:rPr>
          <w:rFonts w:ascii="Times New Roman" w:eastAsia="Times New Roman" w:hAnsi="Times New Roman" w:cs="Times New Roman"/>
          <w:color w:val="auto"/>
          <w:sz w:val="24"/>
          <w:szCs w:val="24"/>
        </w:rPr>
        <w:t>Internal use. Permission to reproduce this document and to prepare derivative works from this document for internal use is granted, provided the copyright and “No Warranty” statements are included with all reproductions and derivative works.</w:t>
      </w:r>
    </w:p>
    <w:p w14:paraId="5B7FC943" w14:textId="77777777" w:rsidR="003731A5" w:rsidRPr="00544BC7" w:rsidRDefault="003731A5" w:rsidP="003731A5">
      <w:pPr>
        <w:pStyle w:val="Heading2"/>
        <w:rPr>
          <w:rFonts w:ascii="Times New Roman" w:eastAsia="Times New Roman" w:hAnsi="Times New Roman" w:cs="Times New Roman"/>
          <w:color w:val="auto"/>
          <w:sz w:val="24"/>
          <w:szCs w:val="24"/>
        </w:rPr>
      </w:pPr>
    </w:p>
    <w:p w14:paraId="5058E954" w14:textId="77777777" w:rsidR="003731A5" w:rsidRPr="00544BC7" w:rsidRDefault="003731A5" w:rsidP="003731A5">
      <w:pPr>
        <w:pStyle w:val="Heading2"/>
        <w:rPr>
          <w:rFonts w:ascii="Times New Roman" w:eastAsia="Times New Roman" w:hAnsi="Times New Roman" w:cs="Times New Roman"/>
          <w:color w:val="auto"/>
          <w:sz w:val="24"/>
          <w:szCs w:val="24"/>
        </w:rPr>
      </w:pPr>
      <w:r w:rsidRPr="00544BC7">
        <w:rPr>
          <w:rFonts w:ascii="Times New Roman" w:eastAsia="Times New Roman" w:hAnsi="Times New Roman" w:cs="Times New Roman"/>
          <w:color w:val="auto"/>
          <w:sz w:val="24"/>
          <w:szCs w:val="24"/>
        </w:rPr>
        <w:t>External use. This document may be reproduced in its entirety, without modification, and freely distributed in written or electronic form without requesting formal permission. Permission is required for any other external and/or commercial use. Requests for permission should be directed to the author.</w:t>
      </w:r>
    </w:p>
    <w:p w14:paraId="7DFC1B1F" w14:textId="77777777" w:rsidR="003731A5" w:rsidRPr="00544BC7" w:rsidRDefault="003731A5" w:rsidP="003731A5">
      <w:pPr>
        <w:pStyle w:val="Heading2"/>
        <w:rPr>
          <w:rFonts w:ascii="Times New Roman" w:eastAsia="Times New Roman" w:hAnsi="Times New Roman" w:cs="Times New Roman"/>
          <w:color w:val="auto"/>
          <w:sz w:val="24"/>
          <w:szCs w:val="24"/>
        </w:rPr>
      </w:pPr>
    </w:p>
    <w:p w14:paraId="6165C197" w14:textId="77777777" w:rsidR="00001078" w:rsidRDefault="00001078">
      <w:pPr>
        <w:spacing w:after="160" w:line="259" w:lineRule="auto"/>
        <w:rPr>
          <w:rFonts w:asciiTheme="minorHAnsi" w:eastAsia="Arial" w:hAnsiTheme="minorHAnsi"/>
          <w:b/>
          <w:bCs/>
          <w:sz w:val="24"/>
          <w:szCs w:val="22"/>
        </w:rPr>
      </w:pPr>
      <w:r>
        <w:rPr>
          <w:rFonts w:asciiTheme="minorHAnsi" w:eastAsia="Arial" w:hAnsiTheme="minorHAnsi"/>
          <w:b/>
          <w:bCs/>
          <w:sz w:val="24"/>
          <w:szCs w:val="22"/>
        </w:rPr>
        <w:br w:type="page"/>
      </w:r>
    </w:p>
    <w:p w14:paraId="3B254C9F" w14:textId="77777777" w:rsidR="00C20B96" w:rsidRPr="00C20B96" w:rsidRDefault="00C20B96" w:rsidP="00C20B96">
      <w:pPr>
        <w:pStyle w:val="Heading3"/>
        <w:rPr>
          <w:b/>
          <w:bCs/>
          <w:color w:val="auto"/>
        </w:rPr>
      </w:pPr>
      <w:r w:rsidRPr="00C20B96">
        <w:rPr>
          <w:b/>
          <w:bCs/>
          <w:color w:val="auto"/>
        </w:rPr>
        <w:lastRenderedPageBreak/>
        <w:t>Secure Acquisition Case Study 4: Supplier Capability Evaluation</w:t>
      </w:r>
    </w:p>
    <w:p w14:paraId="1A2676CC" w14:textId="77777777" w:rsidR="00C20B96" w:rsidRDefault="00C20B96" w:rsidP="00C51799">
      <w:pPr>
        <w:pStyle w:val="Heading2"/>
      </w:pPr>
    </w:p>
    <w:p w14:paraId="15450B22" w14:textId="77777777" w:rsidR="00C20B96" w:rsidRPr="00C20B96" w:rsidRDefault="00C20B96" w:rsidP="00C20B96">
      <w:pPr>
        <w:pStyle w:val="Heading3"/>
        <w:rPr>
          <w:rFonts w:ascii="Calibri" w:hAnsi="Calibri" w:cs="Calibri"/>
          <w:b/>
          <w:bCs/>
          <w:color w:val="2E74B5" w:themeColor="accent1" w:themeShade="BF"/>
        </w:rPr>
      </w:pPr>
      <w:r w:rsidRPr="00C20B96">
        <w:rPr>
          <w:b/>
          <w:bCs/>
          <w:color w:val="2E74B5" w:themeColor="accent1" w:themeShade="BF"/>
        </w:rPr>
        <w:t>Background</w:t>
      </w:r>
      <w:r w:rsidRPr="00C20B96">
        <w:rPr>
          <w:rFonts w:ascii="Calibri" w:hAnsi="Calibri" w:cs="Calibri"/>
          <w:b/>
          <w:bCs/>
          <w:color w:val="2E74B5" w:themeColor="accent1" w:themeShade="BF"/>
        </w:rPr>
        <w:t xml:space="preserve"> </w:t>
      </w:r>
    </w:p>
    <w:p w14:paraId="0CF4FFDB" w14:textId="637EDF2F" w:rsidR="00BD3ED4" w:rsidRPr="00C20B96" w:rsidRDefault="00BD3ED4" w:rsidP="00CA7530">
      <w:pPr>
        <w:spacing w:after="240"/>
        <w:rPr>
          <w:sz w:val="24"/>
          <w:szCs w:val="24"/>
        </w:rPr>
      </w:pPr>
      <w:r w:rsidRPr="00C20B96">
        <w:rPr>
          <w:sz w:val="24"/>
          <w:szCs w:val="24"/>
        </w:rPr>
        <w:t xml:space="preserve">Systems are built out of components that are integrated from the lowest level of a supply chain up to a finished product.  This creates a serious weakness in that malicious code, or counterfeit parts can be inserted at the bottom of the process without scrutiny and then integrated up into the end-product, as was demonstrated by the recent SolarWinds hack. </w:t>
      </w:r>
    </w:p>
    <w:p w14:paraId="7169E756" w14:textId="13234AFE" w:rsidR="00CA7530" w:rsidRPr="00C20B96" w:rsidRDefault="00CA7530" w:rsidP="00CA7530">
      <w:pPr>
        <w:spacing w:after="240"/>
        <w:rPr>
          <w:sz w:val="24"/>
          <w:szCs w:val="24"/>
        </w:rPr>
      </w:pPr>
      <w:r w:rsidRPr="00C20B96">
        <w:rPr>
          <w:sz w:val="24"/>
          <w:szCs w:val="24"/>
        </w:rPr>
        <w:t xml:space="preserve">The possibility of such a thing occurring is so obvious that you would think that there have been practical efforts to address it. However, even though we’ve expended much time and effort to ensure robust, efficient and defect free code, we have done very little to ensure against compromises that could occur during the integration process. Thus, the aim of this </w:t>
      </w:r>
      <w:r w:rsidR="00BD603D" w:rsidRPr="00C20B96">
        <w:rPr>
          <w:sz w:val="24"/>
          <w:szCs w:val="24"/>
        </w:rPr>
        <w:t>project is to help the student understand the stages involved in establishing supply chain capability</w:t>
      </w:r>
      <w:r w:rsidR="0067728F" w:rsidRPr="00C20B96">
        <w:rPr>
          <w:sz w:val="24"/>
          <w:szCs w:val="24"/>
        </w:rPr>
        <w:t>,</w:t>
      </w:r>
      <w:r w:rsidRPr="00C20B96">
        <w:rPr>
          <w:sz w:val="24"/>
          <w:szCs w:val="24"/>
        </w:rPr>
        <w:t xml:space="preserve"> as well as present a </w:t>
      </w:r>
      <w:r w:rsidR="0067728F" w:rsidRPr="00C20B96">
        <w:rPr>
          <w:sz w:val="24"/>
          <w:szCs w:val="24"/>
        </w:rPr>
        <w:t>sample</w:t>
      </w:r>
      <w:r w:rsidRPr="00C20B96">
        <w:rPr>
          <w:sz w:val="24"/>
          <w:szCs w:val="24"/>
        </w:rPr>
        <w:t xml:space="preserve"> solution.  </w:t>
      </w:r>
    </w:p>
    <w:p w14:paraId="4A9DA336" w14:textId="278316A1" w:rsidR="006D461D" w:rsidRPr="00C20B96" w:rsidRDefault="00C51799" w:rsidP="006D461D">
      <w:pPr>
        <w:pStyle w:val="Heading3"/>
        <w:rPr>
          <w:b/>
          <w:bCs/>
          <w:color w:val="2E74B5" w:themeColor="accent1" w:themeShade="BF"/>
        </w:rPr>
      </w:pPr>
      <w:r w:rsidRPr="00C20B96">
        <w:rPr>
          <w:b/>
          <w:bCs/>
          <w:color w:val="2E74B5" w:themeColor="accent1" w:themeShade="BF"/>
        </w:rPr>
        <w:t>Case Study Overview</w:t>
      </w:r>
    </w:p>
    <w:p w14:paraId="3BC0D1C7" w14:textId="77777777" w:rsidR="007303FC" w:rsidRPr="00C20B96" w:rsidRDefault="00CE5BDC" w:rsidP="00CE5BDC">
      <w:pPr>
        <w:pStyle w:val="NormalWeb"/>
        <w:spacing w:before="0" w:beforeAutospacing="0" w:after="0" w:afterAutospacing="0"/>
      </w:pPr>
      <w:r w:rsidRPr="00C20B96">
        <w:t xml:space="preserve">There are three communities of practice in the supply chain, the acquirers/customers, </w:t>
      </w:r>
      <w:proofErr w:type="gramStart"/>
      <w:r w:rsidRPr="00C20B96">
        <w:t>suppliers</w:t>
      </w:r>
      <w:proofErr w:type="gramEnd"/>
      <w:r w:rsidRPr="00C20B96">
        <w:t xml:space="preserve"> and integrators. Each one of these roles has different sets of responsibilities within the supply chain structure. In order to ensure a successful supply chain process, a clear line of communication must be established. The acquirer is the customer/entity in which the product is provided to. The supplier provides a product to a customer under a provision or a contract. The integrator receive parts from sub-contractors and integrate them into larger products that can then be passed up the supply chain to the next level. </w:t>
      </w:r>
    </w:p>
    <w:p w14:paraId="0221E6A8" w14:textId="77777777" w:rsidR="007303FC" w:rsidRPr="00C20B96" w:rsidRDefault="007303FC" w:rsidP="00CE5BDC">
      <w:pPr>
        <w:pStyle w:val="NormalWeb"/>
        <w:spacing w:before="0" w:beforeAutospacing="0" w:after="0" w:afterAutospacing="0"/>
      </w:pPr>
    </w:p>
    <w:p w14:paraId="685184D7" w14:textId="5D4B15DC" w:rsidR="00AF6F89" w:rsidRPr="00C20B96" w:rsidRDefault="00CE5BDC" w:rsidP="007303FC">
      <w:pPr>
        <w:pStyle w:val="NormalWeb"/>
        <w:spacing w:before="0" w:beforeAutospacing="0" w:after="0" w:afterAutospacing="0"/>
      </w:pPr>
      <w:r w:rsidRPr="00C20B96">
        <w:t>The main challenge here is understanding how each of these roles communicate with each other to ensure the product that is being developed can be assembled/compiled and function as expected with no security flaws. In order to mitigate this, the acquisition managers work with suppliers and integrators to establish a line of communication up and down the supply chain. This allows the managers to track performance of the suppliers and their adherence to the requirements.</w:t>
      </w:r>
      <w:r w:rsidR="007303FC" w:rsidRPr="00C20B96">
        <w:t xml:space="preserve"> Therefore, o</w:t>
      </w:r>
      <w:r w:rsidR="00AF6F89" w:rsidRPr="00C20B96">
        <w:t xml:space="preserve">nce the student has determined the capability maturity of their organization with respect to the requirements of NIST 800-161. It is time to make a concrete plan to achieve the requisite level of capability for the supply chain. </w:t>
      </w:r>
    </w:p>
    <w:p w14:paraId="298EC63E" w14:textId="77777777" w:rsidR="00513C82" w:rsidRPr="003B4CB6" w:rsidRDefault="00513C82" w:rsidP="00513C82">
      <w:pPr>
        <w:spacing w:after="20" w:line="259" w:lineRule="auto"/>
        <w:ind w:left="1"/>
        <w:rPr>
          <w:rFonts w:asciiTheme="minorHAnsi" w:hAnsiTheme="minorHAnsi" w:cstheme="minorHAnsi"/>
        </w:rPr>
      </w:pPr>
      <w:r w:rsidRPr="003B4CB6">
        <w:rPr>
          <w:rFonts w:asciiTheme="minorHAnsi" w:hAnsiTheme="minorHAnsi" w:cstheme="minorHAnsi"/>
          <w:sz w:val="24"/>
        </w:rPr>
        <w:t xml:space="preserve"> </w:t>
      </w:r>
    </w:p>
    <w:p w14:paraId="0F5A59B1" w14:textId="34E28A3E" w:rsidR="004B5571" w:rsidRPr="00C20B96" w:rsidRDefault="00C51799" w:rsidP="00C20B96">
      <w:pPr>
        <w:pStyle w:val="Heading3"/>
        <w:rPr>
          <w:rFonts w:eastAsia="Arial"/>
          <w:b/>
          <w:bCs/>
          <w:color w:val="2E74B5" w:themeColor="accent1" w:themeShade="BF"/>
        </w:rPr>
      </w:pPr>
      <w:r w:rsidRPr="00C20B96">
        <w:rPr>
          <w:rFonts w:eastAsia="Arial"/>
          <w:b/>
          <w:bCs/>
          <w:color w:val="2E74B5" w:themeColor="accent1" w:themeShade="BF"/>
        </w:rPr>
        <w:t>Student Instructions</w:t>
      </w:r>
    </w:p>
    <w:p w14:paraId="27AA543B" w14:textId="29CFCBB7" w:rsidR="006B7A86" w:rsidRPr="00C20B96" w:rsidRDefault="0005270F" w:rsidP="006B7A86">
      <w:pPr>
        <w:spacing w:after="225"/>
        <w:ind w:right="32"/>
        <w:rPr>
          <w:sz w:val="24"/>
          <w:szCs w:val="24"/>
        </w:rPr>
      </w:pPr>
      <w:r w:rsidRPr="00C20B96">
        <w:rPr>
          <w:sz w:val="24"/>
          <w:szCs w:val="24"/>
        </w:rPr>
        <w:t>Once you have</w:t>
      </w:r>
      <w:r w:rsidR="006B7A86" w:rsidRPr="00C20B96">
        <w:rPr>
          <w:sz w:val="24"/>
          <w:szCs w:val="24"/>
        </w:rPr>
        <w:t xml:space="preserve"> determined the capability maturity of your organization with respect to the requirements of </w:t>
      </w:r>
      <w:r w:rsidRPr="00C20B96">
        <w:rPr>
          <w:sz w:val="24"/>
          <w:szCs w:val="24"/>
        </w:rPr>
        <w:t xml:space="preserve">NIST 800-161, </w:t>
      </w:r>
      <w:r w:rsidR="006B7A86" w:rsidRPr="00C20B96">
        <w:rPr>
          <w:sz w:val="24"/>
          <w:szCs w:val="24"/>
        </w:rPr>
        <w:t xml:space="preserve">it is time to make a concrete plan to achieve the requisite level of capability for </w:t>
      </w:r>
      <w:r w:rsidR="00C93774" w:rsidRPr="00C20B96">
        <w:rPr>
          <w:sz w:val="24"/>
          <w:szCs w:val="24"/>
        </w:rPr>
        <w:t xml:space="preserve">each community of practice within </w:t>
      </w:r>
      <w:r w:rsidRPr="00C20B96">
        <w:rPr>
          <w:sz w:val="24"/>
          <w:szCs w:val="24"/>
        </w:rPr>
        <w:t>the</w:t>
      </w:r>
      <w:r w:rsidR="006B7A86" w:rsidRPr="00C20B96">
        <w:rPr>
          <w:sz w:val="24"/>
          <w:szCs w:val="24"/>
        </w:rPr>
        <w:t xml:space="preserve"> supply chain. </w:t>
      </w:r>
    </w:p>
    <w:p w14:paraId="4C6E30C7" w14:textId="23AA3425" w:rsidR="006B7A86" w:rsidRPr="00C20B96" w:rsidRDefault="006B7A86" w:rsidP="006B7A86">
      <w:pPr>
        <w:spacing w:after="225"/>
        <w:ind w:right="32"/>
        <w:rPr>
          <w:sz w:val="24"/>
          <w:szCs w:val="24"/>
        </w:rPr>
      </w:pPr>
      <w:r w:rsidRPr="00C20B96">
        <w:rPr>
          <w:sz w:val="24"/>
          <w:szCs w:val="24"/>
        </w:rPr>
        <w:t xml:space="preserve">So, using the Case, please provide a complete set of steps that you feel would be necessary to achieve level three (Managed) for each of the standard requirements of one of the principles in NIST </w:t>
      </w:r>
      <w:r w:rsidR="00C93774" w:rsidRPr="00C20B96">
        <w:rPr>
          <w:sz w:val="24"/>
          <w:szCs w:val="24"/>
        </w:rPr>
        <w:t>800-161</w:t>
      </w:r>
      <w:r w:rsidRPr="00C20B96">
        <w:rPr>
          <w:sz w:val="24"/>
          <w:szCs w:val="24"/>
        </w:rPr>
        <w:t>. Ensure that the actions you specify will provide auditable evidence of achievement of the four necessary common features for each element</w:t>
      </w:r>
      <w:r w:rsidR="00C93774" w:rsidRPr="00C20B96">
        <w:rPr>
          <w:sz w:val="24"/>
          <w:szCs w:val="24"/>
        </w:rPr>
        <w:t>.</w:t>
      </w:r>
    </w:p>
    <w:p w14:paraId="1C20B07A" w14:textId="7C6759D9" w:rsidR="00C35AE7" w:rsidRPr="00C20B96" w:rsidRDefault="006B7A86" w:rsidP="00C35AE7">
      <w:pPr>
        <w:spacing w:after="225"/>
        <w:ind w:right="32"/>
        <w:rPr>
          <w:sz w:val="24"/>
          <w:szCs w:val="24"/>
        </w:rPr>
      </w:pPr>
      <w:r w:rsidRPr="00C20B96">
        <w:rPr>
          <w:sz w:val="24"/>
          <w:szCs w:val="24"/>
        </w:rPr>
        <w:t>The final product will be an action plan for achieving standard compliance with the Managed capability level.</w:t>
      </w:r>
      <w:r w:rsidR="00C35AE7" w:rsidRPr="00C20B96">
        <w:rPr>
          <w:sz w:val="24"/>
          <w:szCs w:val="24"/>
        </w:rPr>
        <w:t xml:space="preserve"> You must provide a complete plan as well as the outcome of the assessment (score). Maturity levels will be assessed using the scale provided across the top of the </w:t>
      </w:r>
      <w:r w:rsidR="00C35AE7" w:rsidRPr="00C20B96">
        <w:rPr>
          <w:sz w:val="24"/>
          <w:szCs w:val="24"/>
        </w:rPr>
        <w:lastRenderedPageBreak/>
        <w:t xml:space="preserve">instrument. For each practice please rate its execution as: Not Done Performed, Managed, Predictable, and Optimizing. The various common features of each capability level will help guide your decision in placing your response.  </w:t>
      </w:r>
    </w:p>
    <w:p w14:paraId="2D1EF1A5" w14:textId="77777777" w:rsidR="00C35AE7" w:rsidRPr="00C20B96" w:rsidRDefault="00C35AE7" w:rsidP="00D7375B">
      <w:pPr>
        <w:spacing w:after="240"/>
        <w:ind w:right="32"/>
        <w:rPr>
          <w:sz w:val="24"/>
          <w:szCs w:val="24"/>
        </w:rPr>
      </w:pPr>
      <w:r w:rsidRPr="00C20B96">
        <w:rPr>
          <w:b/>
          <w:sz w:val="24"/>
          <w:szCs w:val="24"/>
        </w:rPr>
        <w:t>Incomplete</w:t>
      </w:r>
      <w:r w:rsidRPr="00C20B96">
        <w:rPr>
          <w:sz w:val="24"/>
          <w:szCs w:val="24"/>
        </w:rPr>
        <w:t xml:space="preserve">: The Incomplete level has no common features.  There is general failure to perform the base practices.  There are no easily identifiable work products or outputs of the practice. </w:t>
      </w:r>
    </w:p>
    <w:p w14:paraId="17290FB3" w14:textId="22E73F31" w:rsidR="00C35AE7" w:rsidRPr="00C20B96" w:rsidRDefault="00C35AE7" w:rsidP="00C35AE7">
      <w:pPr>
        <w:spacing w:after="274" w:line="239" w:lineRule="auto"/>
        <w:ind w:left="-3" w:right="20" w:hanging="10"/>
        <w:jc w:val="both"/>
        <w:rPr>
          <w:sz w:val="24"/>
          <w:szCs w:val="24"/>
        </w:rPr>
      </w:pPr>
      <w:r w:rsidRPr="00C20B96">
        <w:rPr>
          <w:b/>
          <w:sz w:val="24"/>
          <w:szCs w:val="24"/>
        </w:rPr>
        <w:t>Performed:</w:t>
      </w:r>
      <w:r w:rsidRPr="00C20B96">
        <w:rPr>
          <w:sz w:val="24"/>
          <w:szCs w:val="24"/>
        </w:rPr>
        <w:t xml:space="preserve"> Base practices of the process are generally performed.  Individuals within the organization recognize that an action should be performed, and there is general agreement that this action is performed when required.  The performance of these base practices is ad-hoc and is not rigorously </w:t>
      </w:r>
      <w:r w:rsidR="00D7375B" w:rsidRPr="00C20B96">
        <w:rPr>
          <w:sz w:val="24"/>
          <w:szCs w:val="24"/>
        </w:rPr>
        <w:t>planned or</w:t>
      </w:r>
      <w:r w:rsidRPr="00C20B96">
        <w:rPr>
          <w:sz w:val="24"/>
          <w:szCs w:val="24"/>
        </w:rPr>
        <w:t xml:space="preserve"> tracked.  Performance depends on individual knowledge and effort.  There are identifiable work products for the process Work testify to the performance of the practice. </w:t>
      </w:r>
    </w:p>
    <w:p w14:paraId="1D4C07D1" w14:textId="1D81B9D8" w:rsidR="00C35AE7" w:rsidRPr="00C20B96" w:rsidRDefault="00C35AE7" w:rsidP="00C35AE7">
      <w:pPr>
        <w:spacing w:after="265"/>
        <w:ind w:right="32"/>
        <w:rPr>
          <w:sz w:val="24"/>
          <w:szCs w:val="24"/>
        </w:rPr>
      </w:pPr>
      <w:r w:rsidRPr="00C20B96">
        <w:rPr>
          <w:b/>
          <w:sz w:val="24"/>
          <w:szCs w:val="24"/>
        </w:rPr>
        <w:t>Managed:</w:t>
      </w:r>
      <w:r w:rsidRPr="00C20B96">
        <w:rPr>
          <w:sz w:val="24"/>
          <w:szCs w:val="24"/>
        </w:rPr>
        <w:t xml:space="preserve"> The performance of the process is planned and tracked and executed systematically</w:t>
      </w:r>
      <w:r w:rsidR="00D7375B" w:rsidRPr="00C20B96">
        <w:rPr>
          <w:sz w:val="24"/>
          <w:szCs w:val="24"/>
        </w:rPr>
        <w:t xml:space="preserve"> </w:t>
      </w:r>
      <w:r w:rsidRPr="00C20B96">
        <w:rPr>
          <w:sz w:val="24"/>
          <w:szCs w:val="24"/>
        </w:rPr>
        <w:t xml:space="preserve">within the organization. Base practices are performed according to a well-defined process using approved methods which are tailored versions of standard, documented processes.  </w:t>
      </w:r>
    </w:p>
    <w:p w14:paraId="08D4A2D6" w14:textId="77777777" w:rsidR="00C35AE7" w:rsidRPr="00C20B96" w:rsidRDefault="00C35AE7" w:rsidP="00C35AE7">
      <w:pPr>
        <w:spacing w:after="265"/>
        <w:ind w:right="32"/>
        <w:rPr>
          <w:sz w:val="24"/>
          <w:szCs w:val="24"/>
        </w:rPr>
      </w:pPr>
      <w:r w:rsidRPr="00C20B96">
        <w:rPr>
          <w:b/>
          <w:sz w:val="24"/>
          <w:szCs w:val="24"/>
        </w:rPr>
        <w:t>Predictable:</w:t>
      </w:r>
      <w:r w:rsidRPr="00C20B96">
        <w:rPr>
          <w:sz w:val="24"/>
          <w:szCs w:val="24"/>
        </w:rPr>
        <w:t xml:space="preserve"> Execution of the process is fully reliable because detailed measures of performance are collected and analyzed.  This leads to a quantitative understanding of process capability and an improved ability to predict performance.  Performance is objectively managed.  The quality of work products is quantitatively known.  </w:t>
      </w:r>
    </w:p>
    <w:p w14:paraId="024B419C" w14:textId="6077B146" w:rsidR="00C35AE7" w:rsidRPr="00C20B96" w:rsidRDefault="00C35AE7" w:rsidP="00C35AE7">
      <w:pPr>
        <w:spacing w:after="225"/>
        <w:ind w:right="32"/>
        <w:rPr>
          <w:sz w:val="24"/>
          <w:szCs w:val="24"/>
        </w:rPr>
      </w:pPr>
      <w:r w:rsidRPr="00C20B96">
        <w:rPr>
          <w:b/>
          <w:sz w:val="24"/>
          <w:szCs w:val="24"/>
        </w:rPr>
        <w:t>Optimizing:</w:t>
      </w:r>
      <w:r w:rsidRPr="00C20B96">
        <w:rPr>
          <w:sz w:val="24"/>
          <w:szCs w:val="24"/>
        </w:rPr>
        <w:t xml:space="preserve"> Quantitative process effectiveness and efficiency goals (targets) for performance are established, based on the business goals and system assurance case of the organization.  Continuous process improvement against these goals is enforced by quantitative data that is obtained from the execution of the defined processes as well as from piloting innovative ideas and technologies.  </w:t>
      </w:r>
    </w:p>
    <w:p w14:paraId="1F774749" w14:textId="77777777" w:rsidR="00EB52B6" w:rsidRPr="00EB52B6" w:rsidRDefault="00EB52B6" w:rsidP="00EB52B6">
      <w:pPr>
        <w:rPr>
          <w:rFonts w:eastAsia="Arial"/>
        </w:rPr>
      </w:pPr>
    </w:p>
    <w:p w14:paraId="0996CCC1" w14:textId="4EAA77B0" w:rsidR="00A6150B" w:rsidRPr="00C20B96" w:rsidRDefault="00A6150B" w:rsidP="00E0649D">
      <w:pPr>
        <w:pStyle w:val="Heading3"/>
        <w:rPr>
          <w:rFonts w:asciiTheme="minorHAnsi" w:eastAsia="Arial" w:hAnsiTheme="minorHAnsi" w:cstheme="minorHAnsi"/>
          <w:b/>
          <w:bCs/>
          <w:color w:val="2E74B5" w:themeColor="accent1" w:themeShade="BF"/>
        </w:rPr>
      </w:pPr>
      <w:r w:rsidRPr="00C20B96">
        <w:rPr>
          <w:rFonts w:asciiTheme="minorHAnsi" w:eastAsia="Arial" w:hAnsiTheme="minorHAnsi" w:cstheme="minorHAnsi"/>
          <w:b/>
          <w:bCs/>
          <w:color w:val="2E74B5" w:themeColor="accent1" w:themeShade="BF"/>
        </w:rPr>
        <w:t>Instructor notes</w:t>
      </w:r>
    </w:p>
    <w:p w14:paraId="00C7DC05" w14:textId="03FF9CAD" w:rsidR="00A6150B" w:rsidRPr="00C20B96" w:rsidRDefault="00605556" w:rsidP="00A6150B">
      <w:pPr>
        <w:pStyle w:val="NoSpacing"/>
        <w:rPr>
          <w:rFonts w:eastAsia="Arial"/>
          <w:sz w:val="24"/>
          <w:szCs w:val="24"/>
        </w:rPr>
      </w:pPr>
      <w:r w:rsidRPr="00C20B96">
        <w:rPr>
          <w:rFonts w:eastAsia="Arial"/>
          <w:sz w:val="24"/>
          <w:szCs w:val="24"/>
        </w:rPr>
        <w:t>This is an individual</w:t>
      </w:r>
      <w:r w:rsidR="00A6150B" w:rsidRPr="00C20B96">
        <w:rPr>
          <w:rFonts w:eastAsia="Arial"/>
          <w:sz w:val="24"/>
          <w:szCs w:val="24"/>
        </w:rPr>
        <w:t xml:space="preserve"> assignment</w:t>
      </w:r>
      <w:r w:rsidRPr="00C20B96">
        <w:rPr>
          <w:rFonts w:eastAsia="Arial"/>
          <w:sz w:val="24"/>
          <w:szCs w:val="24"/>
        </w:rPr>
        <w:t xml:space="preserve"> done during a live-lab</w:t>
      </w:r>
      <w:r w:rsidR="008511FD" w:rsidRPr="00C20B96">
        <w:rPr>
          <w:rFonts w:eastAsia="Arial"/>
          <w:sz w:val="24"/>
          <w:szCs w:val="24"/>
        </w:rPr>
        <w:t xml:space="preserve"> session. The process steps are taken a step at a time as guided by the instructor. This is done in-class </w:t>
      </w:r>
      <w:r w:rsidR="00397A02" w:rsidRPr="00C20B96">
        <w:rPr>
          <w:rFonts w:eastAsia="Arial"/>
          <w:sz w:val="24"/>
          <w:szCs w:val="24"/>
        </w:rPr>
        <w:t>as a first of four lab projects done over the</w:t>
      </w:r>
      <w:r w:rsidR="00A6150B" w:rsidRPr="00C20B96">
        <w:rPr>
          <w:rFonts w:eastAsia="Arial"/>
          <w:sz w:val="24"/>
          <w:szCs w:val="24"/>
        </w:rPr>
        <w:t xml:space="preserve"> semester</w:t>
      </w:r>
      <w:r w:rsidR="00397A02" w:rsidRPr="00C20B96">
        <w:rPr>
          <w:rFonts w:eastAsia="Arial"/>
          <w:sz w:val="24"/>
          <w:szCs w:val="24"/>
        </w:rPr>
        <w:t xml:space="preserve"> to illustrate an explicit process for risk mitigation in supply chains using NIST 800-161</w:t>
      </w:r>
    </w:p>
    <w:p w14:paraId="2BB15624" w14:textId="77777777" w:rsidR="00001078" w:rsidRPr="00446704" w:rsidRDefault="00001078" w:rsidP="00A6150B">
      <w:pPr>
        <w:pStyle w:val="NoSpacing"/>
        <w:rPr>
          <w:rFonts w:asciiTheme="minorHAnsi" w:eastAsia="Arial" w:hAnsiTheme="minorHAnsi" w:cstheme="minorHAnsi"/>
          <w:sz w:val="24"/>
          <w:szCs w:val="24"/>
        </w:rPr>
      </w:pPr>
    </w:p>
    <w:p w14:paraId="18E5F640" w14:textId="480A6455" w:rsidR="00001078" w:rsidRPr="00C20B96" w:rsidRDefault="00001078" w:rsidP="00550D22">
      <w:pPr>
        <w:pStyle w:val="Heading3"/>
        <w:rPr>
          <w:rFonts w:eastAsia="Arial"/>
          <w:b/>
          <w:bCs/>
          <w:color w:val="2E74B5" w:themeColor="accent1" w:themeShade="BF"/>
        </w:rPr>
      </w:pPr>
      <w:r w:rsidRPr="00C20B96">
        <w:rPr>
          <w:rFonts w:eastAsia="Arial"/>
          <w:b/>
          <w:bCs/>
          <w:color w:val="2E74B5" w:themeColor="accent1" w:themeShade="BF"/>
        </w:rPr>
        <w:t>Example solution</w:t>
      </w:r>
    </w:p>
    <w:p w14:paraId="0A9EB0DA" w14:textId="77777777" w:rsidR="00724C97" w:rsidRPr="00C20B96" w:rsidRDefault="00724C97" w:rsidP="00724C97">
      <w:pPr>
        <w:spacing w:after="225"/>
        <w:ind w:right="32"/>
        <w:rPr>
          <w:b/>
          <w:bCs/>
          <w:i/>
          <w:iCs/>
          <w:sz w:val="24"/>
          <w:szCs w:val="24"/>
        </w:rPr>
      </w:pPr>
      <w:r w:rsidRPr="00C20B96">
        <w:rPr>
          <w:b/>
          <w:bCs/>
          <w:i/>
          <w:iCs/>
          <w:sz w:val="24"/>
          <w:szCs w:val="24"/>
        </w:rPr>
        <w:t>Acquirer –Programmatic Activities</w:t>
      </w:r>
    </w:p>
    <w:p w14:paraId="04F34FE0" w14:textId="77777777" w:rsidR="00724C97" w:rsidRPr="00C20B96" w:rsidRDefault="00724C97" w:rsidP="00724C97">
      <w:pPr>
        <w:rPr>
          <w:b/>
          <w:bCs/>
          <w:i/>
          <w:iCs/>
          <w:sz w:val="24"/>
          <w:szCs w:val="24"/>
        </w:rPr>
      </w:pPr>
      <w:r w:rsidRPr="00C20B96">
        <w:rPr>
          <w:b/>
          <w:bCs/>
          <w:i/>
          <w:iCs/>
          <w:sz w:val="24"/>
          <w:szCs w:val="24"/>
        </w:rPr>
        <w:t>Establish unique identification of roles …</w:t>
      </w:r>
    </w:p>
    <w:p w14:paraId="054BEC17" w14:textId="36693914" w:rsidR="00724C97" w:rsidRPr="00C20B96" w:rsidRDefault="00724C97" w:rsidP="00724C97">
      <w:pPr>
        <w:rPr>
          <w:i/>
          <w:iCs/>
          <w:sz w:val="24"/>
          <w:szCs w:val="24"/>
        </w:rPr>
      </w:pPr>
      <w:r w:rsidRPr="00C20B96">
        <w:rPr>
          <w:i/>
          <w:iCs/>
          <w:sz w:val="24"/>
          <w:szCs w:val="24"/>
        </w:rPr>
        <w:t>Who: WBYT project manager/team</w:t>
      </w:r>
      <w:r w:rsidR="00E748F4" w:rsidRPr="00C20B96">
        <w:rPr>
          <w:i/>
          <w:iCs/>
          <w:sz w:val="24"/>
          <w:szCs w:val="24"/>
        </w:rPr>
        <w:t>.</w:t>
      </w:r>
    </w:p>
    <w:p w14:paraId="4CACEC2C" w14:textId="16523FA3" w:rsidR="00724C97" w:rsidRPr="00C20B96" w:rsidRDefault="00724C97" w:rsidP="00724C97">
      <w:pPr>
        <w:rPr>
          <w:i/>
          <w:iCs/>
          <w:sz w:val="24"/>
          <w:szCs w:val="24"/>
        </w:rPr>
      </w:pPr>
      <w:r w:rsidRPr="00C20B96">
        <w:rPr>
          <w:i/>
          <w:iCs/>
          <w:sz w:val="24"/>
          <w:szCs w:val="24"/>
        </w:rPr>
        <w:t>When: Initiation of project and after any and all changes to process</w:t>
      </w:r>
    </w:p>
    <w:p w14:paraId="20ED2835" w14:textId="3D548E20" w:rsidR="00724C97" w:rsidRPr="00C20B96" w:rsidRDefault="00724C97" w:rsidP="00724C97">
      <w:pPr>
        <w:rPr>
          <w:i/>
          <w:iCs/>
          <w:sz w:val="24"/>
          <w:szCs w:val="24"/>
        </w:rPr>
      </w:pPr>
      <w:r w:rsidRPr="00C20B96">
        <w:rPr>
          <w:i/>
          <w:iCs/>
          <w:sz w:val="24"/>
          <w:szCs w:val="24"/>
        </w:rPr>
        <w:t>Where: Within their own process and down the supply chain</w:t>
      </w:r>
    </w:p>
    <w:p w14:paraId="452C3306" w14:textId="138A2990" w:rsidR="00724C97" w:rsidRPr="00C20B96" w:rsidRDefault="00724C97" w:rsidP="00724C97">
      <w:pPr>
        <w:rPr>
          <w:i/>
          <w:iCs/>
          <w:sz w:val="24"/>
          <w:szCs w:val="24"/>
        </w:rPr>
      </w:pPr>
      <w:r w:rsidRPr="00C20B96">
        <w:rPr>
          <w:i/>
          <w:iCs/>
          <w:sz w:val="24"/>
          <w:szCs w:val="24"/>
        </w:rPr>
        <w:t>What: establish and document the standards by which entities within supply chain are required to conduct business, including identifying roles, organizations, personnel, etc.</w:t>
      </w:r>
    </w:p>
    <w:p w14:paraId="4BAE48BE" w14:textId="77777777" w:rsidR="00724C97" w:rsidRPr="00C20B96" w:rsidRDefault="00724C97" w:rsidP="00724C97">
      <w:pPr>
        <w:rPr>
          <w:sz w:val="24"/>
          <w:szCs w:val="24"/>
        </w:rPr>
      </w:pPr>
    </w:p>
    <w:p w14:paraId="78297983" w14:textId="77777777" w:rsidR="00724C97" w:rsidRPr="00C20B96" w:rsidRDefault="00724C97" w:rsidP="00724C97">
      <w:pPr>
        <w:rPr>
          <w:b/>
          <w:bCs/>
          <w:sz w:val="24"/>
          <w:szCs w:val="24"/>
        </w:rPr>
      </w:pPr>
      <w:r w:rsidRPr="00C20B96">
        <w:rPr>
          <w:b/>
          <w:bCs/>
          <w:sz w:val="24"/>
          <w:szCs w:val="24"/>
        </w:rPr>
        <w:t>Require that unique identifiers and methods of identification be difficult or impossible to alter and that any alterations adhere to previously set, clearly defined criteria.</w:t>
      </w:r>
    </w:p>
    <w:p w14:paraId="6A278448" w14:textId="364BAF8C" w:rsidR="00724C97" w:rsidRPr="00C20B96" w:rsidRDefault="00724C97" w:rsidP="00724C97">
      <w:pPr>
        <w:rPr>
          <w:sz w:val="24"/>
          <w:szCs w:val="24"/>
        </w:rPr>
      </w:pPr>
      <w:r w:rsidRPr="00C20B96">
        <w:rPr>
          <w:sz w:val="24"/>
          <w:szCs w:val="24"/>
        </w:rPr>
        <w:lastRenderedPageBreak/>
        <w:t>Who: WBYT project manager/team</w:t>
      </w:r>
    </w:p>
    <w:p w14:paraId="090ABB5D" w14:textId="0A83FE00" w:rsidR="00724C97" w:rsidRPr="00C20B96" w:rsidRDefault="00724C97" w:rsidP="00724C97">
      <w:pPr>
        <w:rPr>
          <w:sz w:val="24"/>
          <w:szCs w:val="24"/>
        </w:rPr>
      </w:pPr>
      <w:r w:rsidRPr="00C20B96">
        <w:rPr>
          <w:sz w:val="24"/>
          <w:szCs w:val="24"/>
        </w:rPr>
        <w:t>When: Initiation</w:t>
      </w:r>
    </w:p>
    <w:p w14:paraId="7BC2A643" w14:textId="0A05F182" w:rsidR="00724C97" w:rsidRPr="00C20B96" w:rsidRDefault="00724C97" w:rsidP="00724C97">
      <w:pPr>
        <w:rPr>
          <w:sz w:val="24"/>
          <w:szCs w:val="24"/>
        </w:rPr>
      </w:pPr>
      <w:r w:rsidRPr="00C20B96">
        <w:rPr>
          <w:sz w:val="24"/>
          <w:szCs w:val="24"/>
        </w:rPr>
        <w:t>Where: throughout supply chain via standards outlined in contract</w:t>
      </w:r>
    </w:p>
    <w:p w14:paraId="7571637B" w14:textId="501DD937" w:rsidR="00724C97" w:rsidRPr="00C20B96" w:rsidRDefault="00724C97" w:rsidP="00724C97">
      <w:pPr>
        <w:rPr>
          <w:sz w:val="24"/>
          <w:szCs w:val="24"/>
        </w:rPr>
      </w:pPr>
      <w:r w:rsidRPr="00C20B96">
        <w:rPr>
          <w:sz w:val="24"/>
          <w:szCs w:val="24"/>
        </w:rPr>
        <w:t>What: contractually require subcontractors adhere to unique identifiers</w:t>
      </w:r>
    </w:p>
    <w:p w14:paraId="1A024B5D" w14:textId="77777777" w:rsidR="00724C97" w:rsidRPr="00C20B96" w:rsidRDefault="00724C97" w:rsidP="00724C97">
      <w:pPr>
        <w:rPr>
          <w:sz w:val="24"/>
          <w:szCs w:val="24"/>
        </w:rPr>
      </w:pPr>
    </w:p>
    <w:p w14:paraId="6511F4FE" w14:textId="2D65E0D1" w:rsidR="00724C97" w:rsidRPr="00C20B96" w:rsidRDefault="00724C97" w:rsidP="00724C97">
      <w:pPr>
        <w:rPr>
          <w:sz w:val="24"/>
          <w:szCs w:val="24"/>
        </w:rPr>
      </w:pPr>
      <w:r w:rsidRPr="00C20B96">
        <w:rPr>
          <w:b/>
          <w:bCs/>
          <w:sz w:val="24"/>
          <w:szCs w:val="24"/>
        </w:rPr>
        <w:t xml:space="preserve">Require that identification methods </w:t>
      </w:r>
      <w:proofErr w:type="gramStart"/>
      <w:r w:rsidRPr="00C20B96">
        <w:rPr>
          <w:b/>
          <w:bCs/>
          <w:sz w:val="24"/>
          <w:szCs w:val="24"/>
        </w:rPr>
        <w:t>are</w:t>
      </w:r>
      <w:proofErr w:type="gramEnd"/>
      <w:r w:rsidRPr="00C20B96">
        <w:rPr>
          <w:b/>
          <w:bCs/>
          <w:sz w:val="24"/>
          <w:szCs w:val="24"/>
        </w:rPr>
        <w:t xml:space="preserve"> sufficient to support provenance in the event of a supply chain </w:t>
      </w:r>
      <w:r w:rsidR="00B3599E" w:rsidRPr="00C20B96">
        <w:rPr>
          <w:b/>
          <w:bCs/>
          <w:sz w:val="24"/>
          <w:szCs w:val="24"/>
        </w:rPr>
        <w:t>issue.</w:t>
      </w:r>
      <w:r w:rsidRPr="00C20B96">
        <w:rPr>
          <w:b/>
          <w:bCs/>
          <w:sz w:val="24"/>
          <w:szCs w:val="24"/>
        </w:rPr>
        <w:tab/>
      </w:r>
      <w:r w:rsidRPr="00C20B96">
        <w:rPr>
          <w:sz w:val="24"/>
          <w:szCs w:val="24"/>
        </w:rPr>
        <w:tab/>
      </w:r>
    </w:p>
    <w:p w14:paraId="7CF095AD" w14:textId="77777777" w:rsidR="00724C97" w:rsidRPr="00C20B96" w:rsidRDefault="00724C97" w:rsidP="00E748F4">
      <w:pPr>
        <w:rPr>
          <w:sz w:val="24"/>
          <w:szCs w:val="24"/>
        </w:rPr>
      </w:pPr>
      <w:r w:rsidRPr="00C20B96">
        <w:rPr>
          <w:sz w:val="24"/>
          <w:szCs w:val="24"/>
        </w:rPr>
        <w:t>Who: PM / management teams</w:t>
      </w:r>
    </w:p>
    <w:p w14:paraId="34AB1325" w14:textId="517798FC" w:rsidR="00724C97" w:rsidRPr="00C20B96" w:rsidRDefault="00724C97" w:rsidP="00724C97">
      <w:pPr>
        <w:rPr>
          <w:sz w:val="24"/>
          <w:szCs w:val="24"/>
        </w:rPr>
      </w:pPr>
      <w:r w:rsidRPr="00C20B96">
        <w:rPr>
          <w:sz w:val="24"/>
          <w:szCs w:val="24"/>
        </w:rPr>
        <w:t>When: Initiation</w:t>
      </w:r>
    </w:p>
    <w:p w14:paraId="220A51AD" w14:textId="2CAB48F4" w:rsidR="00724C97" w:rsidRPr="00C20B96" w:rsidRDefault="00724C97" w:rsidP="00724C97">
      <w:pPr>
        <w:rPr>
          <w:sz w:val="24"/>
          <w:szCs w:val="24"/>
        </w:rPr>
      </w:pPr>
      <w:r w:rsidRPr="00C20B96">
        <w:rPr>
          <w:sz w:val="24"/>
          <w:szCs w:val="24"/>
        </w:rPr>
        <w:t>Where: throughout supply chain via standards outlined in contract</w:t>
      </w:r>
    </w:p>
    <w:p w14:paraId="00EC2E85" w14:textId="386E8DF0" w:rsidR="00724C97" w:rsidRPr="00C20B96" w:rsidRDefault="00724C97" w:rsidP="00B3599E">
      <w:pPr>
        <w:rPr>
          <w:sz w:val="24"/>
          <w:szCs w:val="24"/>
        </w:rPr>
      </w:pPr>
      <w:r w:rsidRPr="00C20B96">
        <w:rPr>
          <w:sz w:val="24"/>
          <w:szCs w:val="24"/>
        </w:rPr>
        <w:t xml:space="preserve">What: ensure identification of all entities within supply chain adhere to strict documentation and tracking of purchases, </w:t>
      </w:r>
      <w:proofErr w:type="gramStart"/>
      <w:r w:rsidRPr="00C20B96">
        <w:rPr>
          <w:sz w:val="24"/>
          <w:szCs w:val="24"/>
        </w:rPr>
        <w:t>shipping</w:t>
      </w:r>
      <w:proofErr w:type="gramEnd"/>
      <w:r w:rsidRPr="00C20B96">
        <w:rPr>
          <w:sz w:val="24"/>
          <w:szCs w:val="24"/>
        </w:rPr>
        <w:t xml:space="preserve"> and receiving to ensure provenance </w:t>
      </w:r>
    </w:p>
    <w:p w14:paraId="7FC16187" w14:textId="77777777" w:rsidR="00724C97" w:rsidRPr="00C20B96" w:rsidRDefault="00724C97" w:rsidP="00724C97">
      <w:pPr>
        <w:rPr>
          <w:sz w:val="24"/>
          <w:szCs w:val="24"/>
        </w:rPr>
      </w:pPr>
    </w:p>
    <w:p w14:paraId="59AA2B96" w14:textId="0FB82C50" w:rsidR="00724C97" w:rsidRPr="00C20B96" w:rsidRDefault="00724C97" w:rsidP="00724C97">
      <w:pPr>
        <w:rPr>
          <w:b/>
          <w:bCs/>
          <w:sz w:val="24"/>
          <w:szCs w:val="24"/>
        </w:rPr>
      </w:pPr>
      <w:r w:rsidRPr="00C20B96">
        <w:rPr>
          <w:b/>
          <w:bCs/>
          <w:sz w:val="24"/>
          <w:szCs w:val="24"/>
        </w:rPr>
        <w:t xml:space="preserve">Use threat response practitioners to assist the systems engineering and the implementation, oversight, and compliance </w:t>
      </w:r>
      <w:r w:rsidR="00B3599E" w:rsidRPr="00C20B96">
        <w:rPr>
          <w:b/>
          <w:bCs/>
          <w:sz w:val="24"/>
          <w:szCs w:val="24"/>
        </w:rPr>
        <w:t>communities.</w:t>
      </w:r>
    </w:p>
    <w:p w14:paraId="7056F101" w14:textId="4124DDBF" w:rsidR="00724C97" w:rsidRPr="00C20B96" w:rsidRDefault="00724C97" w:rsidP="00724C97">
      <w:pPr>
        <w:rPr>
          <w:sz w:val="24"/>
          <w:szCs w:val="24"/>
        </w:rPr>
      </w:pPr>
      <w:r w:rsidRPr="00C20B96">
        <w:rPr>
          <w:sz w:val="24"/>
          <w:szCs w:val="24"/>
        </w:rPr>
        <w:t>Who: WBYT is utilizing DUO security services for oversight of threat response</w:t>
      </w:r>
    </w:p>
    <w:p w14:paraId="5268B98F" w14:textId="5EE9B741" w:rsidR="00724C97" w:rsidRPr="00C20B96" w:rsidRDefault="00724C97" w:rsidP="00724C97">
      <w:pPr>
        <w:rPr>
          <w:sz w:val="24"/>
          <w:szCs w:val="24"/>
        </w:rPr>
      </w:pPr>
      <w:r w:rsidRPr="00C20B96">
        <w:rPr>
          <w:sz w:val="24"/>
          <w:szCs w:val="24"/>
        </w:rPr>
        <w:t>When: at Initiation and quarterly or after any changes to processes</w:t>
      </w:r>
    </w:p>
    <w:p w14:paraId="16A38914" w14:textId="67671D2A" w:rsidR="00724C97" w:rsidRPr="00C20B96" w:rsidRDefault="00724C97" w:rsidP="00724C97">
      <w:pPr>
        <w:rPr>
          <w:sz w:val="24"/>
          <w:szCs w:val="24"/>
        </w:rPr>
      </w:pPr>
      <w:r w:rsidRPr="00C20B96">
        <w:rPr>
          <w:sz w:val="24"/>
          <w:szCs w:val="24"/>
        </w:rPr>
        <w:t xml:space="preserve">Where: at affected supplier </w:t>
      </w:r>
    </w:p>
    <w:p w14:paraId="1ACE8DD9" w14:textId="3E79C8E1" w:rsidR="00724C97" w:rsidRPr="00C20B96" w:rsidRDefault="00724C97" w:rsidP="00724C97">
      <w:pPr>
        <w:rPr>
          <w:sz w:val="24"/>
          <w:szCs w:val="24"/>
        </w:rPr>
      </w:pPr>
      <w:r w:rsidRPr="00C20B96">
        <w:rPr>
          <w:sz w:val="24"/>
          <w:szCs w:val="24"/>
        </w:rPr>
        <w:t>What: Oversight and compliance confirmation for SCRM policies</w:t>
      </w:r>
    </w:p>
    <w:p w14:paraId="0F035539" w14:textId="77777777" w:rsidR="00D7375B" w:rsidRPr="00C20B96" w:rsidRDefault="00D7375B" w:rsidP="00724C97">
      <w:pPr>
        <w:rPr>
          <w:b/>
          <w:bCs/>
          <w:sz w:val="24"/>
          <w:szCs w:val="24"/>
        </w:rPr>
      </w:pPr>
    </w:p>
    <w:p w14:paraId="01247F8C" w14:textId="1C6FFB2B" w:rsidR="00724C97" w:rsidRPr="00C20B96" w:rsidRDefault="00724C97" w:rsidP="00724C97">
      <w:pPr>
        <w:rPr>
          <w:b/>
          <w:bCs/>
          <w:sz w:val="24"/>
          <w:szCs w:val="24"/>
        </w:rPr>
      </w:pPr>
      <w:r w:rsidRPr="00C20B96">
        <w:rPr>
          <w:b/>
          <w:bCs/>
          <w:sz w:val="24"/>
          <w:szCs w:val="24"/>
        </w:rPr>
        <w:t xml:space="preserve">Document that individuals are assigned appropriate roles throughout the supply chain and system/element life cycle, regardless of personnel </w:t>
      </w:r>
      <w:proofErr w:type="gramStart"/>
      <w:r w:rsidRPr="00C20B96">
        <w:rPr>
          <w:b/>
          <w:bCs/>
          <w:sz w:val="24"/>
          <w:szCs w:val="24"/>
        </w:rPr>
        <w:t>turnover</w:t>
      </w:r>
      <w:proofErr w:type="gramEnd"/>
    </w:p>
    <w:p w14:paraId="703DDCCC" w14:textId="13DC68CD" w:rsidR="00724C97" w:rsidRPr="00C20B96" w:rsidRDefault="00724C97" w:rsidP="00724C97">
      <w:pPr>
        <w:rPr>
          <w:sz w:val="24"/>
          <w:szCs w:val="24"/>
        </w:rPr>
      </w:pPr>
      <w:r w:rsidRPr="00C20B96">
        <w:rPr>
          <w:sz w:val="24"/>
          <w:szCs w:val="24"/>
        </w:rPr>
        <w:t>Who: HR managers of involved companies</w:t>
      </w:r>
    </w:p>
    <w:p w14:paraId="104C6E22" w14:textId="56862DBD" w:rsidR="00724C97" w:rsidRPr="00C20B96" w:rsidRDefault="00724C97" w:rsidP="00724C97">
      <w:pPr>
        <w:rPr>
          <w:sz w:val="24"/>
          <w:szCs w:val="24"/>
        </w:rPr>
      </w:pPr>
      <w:r w:rsidRPr="00C20B96">
        <w:rPr>
          <w:sz w:val="24"/>
          <w:szCs w:val="24"/>
        </w:rPr>
        <w:t>When: Initiation and Quarterly</w:t>
      </w:r>
    </w:p>
    <w:p w14:paraId="5F29BC48" w14:textId="2951789A" w:rsidR="00724C97" w:rsidRPr="00C20B96" w:rsidRDefault="00724C97" w:rsidP="00724C97">
      <w:pPr>
        <w:rPr>
          <w:sz w:val="24"/>
          <w:szCs w:val="24"/>
        </w:rPr>
      </w:pPr>
      <w:r w:rsidRPr="00C20B96">
        <w:rPr>
          <w:sz w:val="24"/>
          <w:szCs w:val="24"/>
        </w:rPr>
        <w:t>Where: Supplier to conduct with their own organization</w:t>
      </w:r>
    </w:p>
    <w:p w14:paraId="5F28FD42" w14:textId="358C759A" w:rsidR="00724C97" w:rsidRPr="00C20B96" w:rsidRDefault="00724C97" w:rsidP="00B3599E">
      <w:pPr>
        <w:rPr>
          <w:sz w:val="24"/>
          <w:szCs w:val="24"/>
        </w:rPr>
      </w:pPr>
      <w:r w:rsidRPr="00C20B96">
        <w:rPr>
          <w:sz w:val="24"/>
          <w:szCs w:val="24"/>
        </w:rPr>
        <w:t>What: Produce personnel tracking and role assignment of personnel tasked to production of products/services for WBYT/ USAF projects</w:t>
      </w:r>
    </w:p>
    <w:p w14:paraId="4288A46B" w14:textId="77777777" w:rsidR="00724C97" w:rsidRPr="00C20B96" w:rsidRDefault="00724C97" w:rsidP="00724C97">
      <w:pPr>
        <w:ind w:firstLineChars="200" w:firstLine="482"/>
        <w:rPr>
          <w:b/>
          <w:bCs/>
          <w:sz w:val="24"/>
          <w:szCs w:val="24"/>
          <w:u w:val="single"/>
        </w:rPr>
      </w:pPr>
    </w:p>
    <w:p w14:paraId="0F1875BD" w14:textId="77777777" w:rsidR="00724C97" w:rsidRPr="00C20B96" w:rsidRDefault="00724C97" w:rsidP="00B3599E">
      <w:pPr>
        <w:rPr>
          <w:b/>
          <w:bCs/>
          <w:sz w:val="24"/>
          <w:szCs w:val="24"/>
          <w:u w:val="single"/>
        </w:rPr>
      </w:pPr>
      <w:r w:rsidRPr="00C20B96">
        <w:rPr>
          <w:b/>
          <w:bCs/>
          <w:sz w:val="24"/>
          <w:szCs w:val="24"/>
          <w:u w:val="single"/>
        </w:rPr>
        <w:t xml:space="preserve">Acquirer – Validation and Verification Activities </w:t>
      </w:r>
    </w:p>
    <w:p w14:paraId="38699779" w14:textId="77777777" w:rsidR="00724C97" w:rsidRPr="00C20B96" w:rsidRDefault="00724C97" w:rsidP="00724C97">
      <w:pPr>
        <w:rPr>
          <w:b/>
          <w:bCs/>
          <w:sz w:val="24"/>
          <w:szCs w:val="24"/>
        </w:rPr>
      </w:pPr>
      <w:r w:rsidRPr="00C20B96">
        <w:rPr>
          <w:b/>
          <w:bCs/>
          <w:sz w:val="24"/>
          <w:szCs w:val="24"/>
        </w:rPr>
        <w:t>Assess the effectiveness of acquirer and integrator identity management …</w:t>
      </w:r>
    </w:p>
    <w:p w14:paraId="45E4BF32" w14:textId="527CA44E" w:rsidR="00724C97" w:rsidRPr="00C20B96" w:rsidRDefault="00724C97" w:rsidP="00724C97">
      <w:pPr>
        <w:rPr>
          <w:sz w:val="24"/>
          <w:szCs w:val="24"/>
        </w:rPr>
      </w:pPr>
      <w:r w:rsidRPr="00C20B96">
        <w:rPr>
          <w:sz w:val="24"/>
          <w:szCs w:val="24"/>
        </w:rPr>
        <w:t xml:space="preserve">Who: DUO security as contracted by WBYT </w:t>
      </w:r>
    </w:p>
    <w:p w14:paraId="7387AA84" w14:textId="1DC818C1" w:rsidR="00724C97" w:rsidRPr="00C20B96" w:rsidRDefault="00724C97" w:rsidP="00724C97">
      <w:pPr>
        <w:rPr>
          <w:sz w:val="24"/>
          <w:szCs w:val="24"/>
        </w:rPr>
      </w:pPr>
      <w:r w:rsidRPr="00C20B96">
        <w:rPr>
          <w:sz w:val="24"/>
          <w:szCs w:val="24"/>
        </w:rPr>
        <w:t xml:space="preserve">When: Initiation, after any changes or minimally </w:t>
      </w:r>
      <w:r w:rsidR="00C93774" w:rsidRPr="00C20B96">
        <w:rPr>
          <w:sz w:val="24"/>
          <w:szCs w:val="24"/>
        </w:rPr>
        <w:t>annually</w:t>
      </w:r>
    </w:p>
    <w:p w14:paraId="36A5837D" w14:textId="672A4782" w:rsidR="00724C97" w:rsidRPr="00C20B96" w:rsidRDefault="00724C97" w:rsidP="00724C97">
      <w:pPr>
        <w:rPr>
          <w:sz w:val="24"/>
          <w:szCs w:val="24"/>
        </w:rPr>
      </w:pPr>
      <w:r w:rsidRPr="00C20B96">
        <w:rPr>
          <w:sz w:val="24"/>
          <w:szCs w:val="24"/>
        </w:rPr>
        <w:t>Where: at supplier locations</w:t>
      </w:r>
    </w:p>
    <w:p w14:paraId="06B21DDE" w14:textId="5C064681" w:rsidR="00724C97" w:rsidRPr="00C20B96" w:rsidRDefault="00724C97" w:rsidP="00B3599E">
      <w:pPr>
        <w:rPr>
          <w:sz w:val="24"/>
          <w:szCs w:val="24"/>
        </w:rPr>
      </w:pPr>
      <w:r w:rsidRPr="00C20B96">
        <w:rPr>
          <w:sz w:val="24"/>
          <w:szCs w:val="24"/>
        </w:rPr>
        <w:t>What: conduct risk analysis and security assessments of access control policies and procedures</w:t>
      </w:r>
    </w:p>
    <w:p w14:paraId="7A307DC0" w14:textId="77777777" w:rsidR="00724C97" w:rsidRPr="00C20B96" w:rsidRDefault="00724C97" w:rsidP="00724C97">
      <w:pPr>
        <w:rPr>
          <w:b/>
          <w:bCs/>
          <w:sz w:val="24"/>
          <w:szCs w:val="24"/>
        </w:rPr>
      </w:pPr>
    </w:p>
    <w:p w14:paraId="3155201E" w14:textId="77CB9B80" w:rsidR="00724C97" w:rsidRPr="00C20B96" w:rsidRDefault="00724C97" w:rsidP="00724C97">
      <w:pPr>
        <w:rPr>
          <w:b/>
          <w:bCs/>
          <w:sz w:val="24"/>
          <w:szCs w:val="24"/>
        </w:rPr>
      </w:pPr>
      <w:r w:rsidRPr="00C20B96">
        <w:rPr>
          <w:b/>
          <w:bCs/>
          <w:sz w:val="24"/>
          <w:szCs w:val="24"/>
        </w:rPr>
        <w:t xml:space="preserve">Perform audits on unique identification deficiencies and report up the </w:t>
      </w:r>
      <w:proofErr w:type="gramStart"/>
      <w:r w:rsidRPr="00C20B96">
        <w:rPr>
          <w:b/>
          <w:bCs/>
          <w:sz w:val="24"/>
          <w:szCs w:val="24"/>
        </w:rPr>
        <w:t>supply  chain</w:t>
      </w:r>
      <w:proofErr w:type="gramEnd"/>
      <w:r w:rsidRPr="00C20B96">
        <w:rPr>
          <w:b/>
          <w:bCs/>
          <w:sz w:val="24"/>
          <w:szCs w:val="24"/>
        </w:rPr>
        <w:t xml:space="preserve"> for corrective action.</w:t>
      </w:r>
    </w:p>
    <w:p w14:paraId="29BDF1FF" w14:textId="4148DC1A" w:rsidR="00724C97" w:rsidRPr="00C20B96" w:rsidRDefault="00724C97" w:rsidP="00724C97">
      <w:pPr>
        <w:rPr>
          <w:sz w:val="24"/>
          <w:szCs w:val="24"/>
        </w:rPr>
      </w:pPr>
      <w:r w:rsidRPr="00C20B96">
        <w:rPr>
          <w:sz w:val="24"/>
          <w:szCs w:val="24"/>
        </w:rPr>
        <w:t>Who: DUO security as contracted by WBYT</w:t>
      </w:r>
    </w:p>
    <w:p w14:paraId="76F987F8" w14:textId="1C9B0788" w:rsidR="00724C97" w:rsidRPr="00C20B96" w:rsidRDefault="00724C97" w:rsidP="00724C97">
      <w:pPr>
        <w:rPr>
          <w:sz w:val="24"/>
          <w:szCs w:val="24"/>
        </w:rPr>
      </w:pPr>
      <w:r w:rsidRPr="00C20B96">
        <w:rPr>
          <w:sz w:val="24"/>
          <w:szCs w:val="24"/>
        </w:rPr>
        <w:t>When: initiation and quarterly</w:t>
      </w:r>
    </w:p>
    <w:p w14:paraId="5DE2281B" w14:textId="03814218" w:rsidR="00724C97" w:rsidRPr="00C20B96" w:rsidRDefault="00724C97" w:rsidP="00724C97">
      <w:pPr>
        <w:rPr>
          <w:sz w:val="24"/>
          <w:szCs w:val="24"/>
        </w:rPr>
      </w:pPr>
      <w:r w:rsidRPr="00C20B96">
        <w:rPr>
          <w:sz w:val="24"/>
          <w:szCs w:val="24"/>
        </w:rPr>
        <w:t>Where: supplier/integrator location</w:t>
      </w:r>
    </w:p>
    <w:p w14:paraId="48298D1E" w14:textId="10D14B38" w:rsidR="00724C97" w:rsidRPr="00C20B96" w:rsidRDefault="00724C97" w:rsidP="00B3599E">
      <w:pPr>
        <w:rPr>
          <w:sz w:val="24"/>
          <w:szCs w:val="24"/>
        </w:rPr>
      </w:pPr>
      <w:r w:rsidRPr="00C20B96">
        <w:rPr>
          <w:sz w:val="24"/>
          <w:szCs w:val="24"/>
        </w:rPr>
        <w:t>What: conduct quarterly reports on unique identification of roles, responsibilities, organization, people, etc.</w:t>
      </w:r>
    </w:p>
    <w:p w14:paraId="7D1794A8" w14:textId="77777777" w:rsidR="00724C97" w:rsidRPr="00C20B96" w:rsidRDefault="00724C97" w:rsidP="00724C97">
      <w:pPr>
        <w:rPr>
          <w:sz w:val="24"/>
          <w:szCs w:val="24"/>
        </w:rPr>
      </w:pPr>
    </w:p>
    <w:p w14:paraId="0CAEEC4B" w14:textId="77777777" w:rsidR="00724C97" w:rsidRPr="00C20B96" w:rsidRDefault="00724C97" w:rsidP="00724C97">
      <w:pPr>
        <w:rPr>
          <w:b/>
          <w:bCs/>
          <w:sz w:val="24"/>
          <w:szCs w:val="24"/>
        </w:rPr>
      </w:pPr>
      <w:r w:rsidRPr="00C20B96">
        <w:rPr>
          <w:b/>
          <w:bCs/>
          <w:sz w:val="24"/>
          <w:szCs w:val="24"/>
        </w:rPr>
        <w:t xml:space="preserve">Ensure that unique identifications are assigned to all actors/roles and to the tactics, techniques, procedures, and tools most associated with those </w:t>
      </w:r>
      <w:proofErr w:type="gramStart"/>
      <w:r w:rsidRPr="00C20B96">
        <w:rPr>
          <w:b/>
          <w:bCs/>
          <w:sz w:val="24"/>
          <w:szCs w:val="24"/>
        </w:rPr>
        <w:t>actors</w:t>
      </w:r>
      <w:proofErr w:type="gramEnd"/>
    </w:p>
    <w:p w14:paraId="2DABA515" w14:textId="44256721" w:rsidR="00724C97" w:rsidRPr="00C20B96" w:rsidRDefault="00724C97" w:rsidP="00724C97">
      <w:pPr>
        <w:rPr>
          <w:sz w:val="24"/>
          <w:szCs w:val="24"/>
        </w:rPr>
      </w:pPr>
      <w:r w:rsidRPr="00C20B96">
        <w:rPr>
          <w:sz w:val="24"/>
          <w:szCs w:val="24"/>
        </w:rPr>
        <w:t>Who: DUO security as contracted by WBYT</w:t>
      </w:r>
      <w:r w:rsidRPr="00C20B96">
        <w:rPr>
          <w:sz w:val="24"/>
          <w:szCs w:val="24"/>
        </w:rPr>
        <w:tab/>
      </w:r>
    </w:p>
    <w:p w14:paraId="2CE8D412" w14:textId="0BA71AC5" w:rsidR="00724C97" w:rsidRPr="00C20B96" w:rsidRDefault="00724C97" w:rsidP="00724C97">
      <w:pPr>
        <w:rPr>
          <w:sz w:val="24"/>
          <w:szCs w:val="24"/>
        </w:rPr>
      </w:pPr>
      <w:r w:rsidRPr="00C20B96">
        <w:rPr>
          <w:sz w:val="24"/>
          <w:szCs w:val="24"/>
        </w:rPr>
        <w:lastRenderedPageBreak/>
        <w:t>When:</w:t>
      </w:r>
      <w:r w:rsidRPr="00C20B96">
        <w:rPr>
          <w:sz w:val="24"/>
          <w:szCs w:val="24"/>
        </w:rPr>
        <w:tab/>
        <w:t>initiation and quarterly during audit</w:t>
      </w:r>
    </w:p>
    <w:p w14:paraId="7B1C8E47" w14:textId="28773436" w:rsidR="00724C97" w:rsidRPr="00C20B96" w:rsidRDefault="00724C97" w:rsidP="00724C97">
      <w:pPr>
        <w:rPr>
          <w:sz w:val="24"/>
          <w:szCs w:val="24"/>
        </w:rPr>
      </w:pPr>
      <w:r w:rsidRPr="00C20B96">
        <w:rPr>
          <w:sz w:val="24"/>
          <w:szCs w:val="24"/>
        </w:rPr>
        <w:t>Where: supplier/integrator location</w:t>
      </w:r>
    </w:p>
    <w:p w14:paraId="118B2E89" w14:textId="245B5BB1" w:rsidR="00724C97" w:rsidRPr="00C20B96" w:rsidRDefault="00724C97" w:rsidP="00724C97">
      <w:pPr>
        <w:ind w:left="720" w:hanging="719"/>
        <w:rPr>
          <w:sz w:val="24"/>
          <w:szCs w:val="24"/>
        </w:rPr>
      </w:pPr>
      <w:r w:rsidRPr="00C20B96">
        <w:rPr>
          <w:sz w:val="24"/>
          <w:szCs w:val="24"/>
        </w:rPr>
        <w:t xml:space="preserve">What: </w:t>
      </w:r>
      <w:r w:rsidRPr="00C20B96">
        <w:rPr>
          <w:sz w:val="24"/>
          <w:szCs w:val="24"/>
        </w:rPr>
        <w:tab/>
        <w:t>audit and produce report detailing identifications assigned to all roles, techniques,</w:t>
      </w:r>
      <w:r w:rsidR="00B3599E" w:rsidRPr="00C20B96">
        <w:rPr>
          <w:sz w:val="24"/>
          <w:szCs w:val="24"/>
        </w:rPr>
        <w:t xml:space="preserve"> </w:t>
      </w:r>
      <w:r w:rsidRPr="00C20B96">
        <w:rPr>
          <w:sz w:val="24"/>
          <w:szCs w:val="24"/>
        </w:rPr>
        <w:t>procedures, etc.</w:t>
      </w:r>
    </w:p>
    <w:p w14:paraId="2384F13F" w14:textId="77777777" w:rsidR="00724C97" w:rsidRPr="00C20B96" w:rsidRDefault="00724C97" w:rsidP="00724C97">
      <w:pPr>
        <w:rPr>
          <w:sz w:val="24"/>
          <w:szCs w:val="24"/>
        </w:rPr>
      </w:pPr>
    </w:p>
    <w:p w14:paraId="3E27CF8F" w14:textId="77777777" w:rsidR="00724C97" w:rsidRPr="00C20B96" w:rsidRDefault="00724C97" w:rsidP="00724C97">
      <w:pPr>
        <w:rPr>
          <w:b/>
          <w:bCs/>
          <w:sz w:val="24"/>
          <w:szCs w:val="24"/>
        </w:rPr>
      </w:pPr>
      <w:r w:rsidRPr="00C20B96">
        <w:rPr>
          <w:b/>
          <w:bCs/>
          <w:sz w:val="24"/>
          <w:szCs w:val="24"/>
        </w:rPr>
        <w:t xml:space="preserve">Employ tools and techniques to determine if authenticators are sufficiently strong to resist attacks intended to discover or compromise </w:t>
      </w:r>
      <w:proofErr w:type="gramStart"/>
      <w:r w:rsidRPr="00C20B96">
        <w:rPr>
          <w:b/>
          <w:bCs/>
          <w:sz w:val="24"/>
          <w:szCs w:val="24"/>
        </w:rPr>
        <w:t>authenticators</w:t>
      </w:r>
      <w:proofErr w:type="gramEnd"/>
    </w:p>
    <w:p w14:paraId="18527A57" w14:textId="326FD66D" w:rsidR="00724C97" w:rsidRPr="00C20B96" w:rsidRDefault="00724C97" w:rsidP="00724C97">
      <w:pPr>
        <w:rPr>
          <w:sz w:val="24"/>
          <w:szCs w:val="24"/>
        </w:rPr>
      </w:pPr>
      <w:r w:rsidRPr="00C20B96">
        <w:rPr>
          <w:sz w:val="24"/>
          <w:szCs w:val="24"/>
        </w:rPr>
        <w:t>Who: DUO security as contracted by WBYT</w:t>
      </w:r>
    </w:p>
    <w:p w14:paraId="2F2C29D5" w14:textId="1BB5D36F" w:rsidR="00724C97" w:rsidRPr="00C20B96" w:rsidRDefault="00724C97" w:rsidP="00724C97">
      <w:pPr>
        <w:rPr>
          <w:sz w:val="24"/>
          <w:szCs w:val="24"/>
        </w:rPr>
      </w:pPr>
      <w:r w:rsidRPr="00C20B96">
        <w:rPr>
          <w:sz w:val="24"/>
          <w:szCs w:val="24"/>
        </w:rPr>
        <w:t>When:</w:t>
      </w:r>
      <w:r w:rsidRPr="00C20B96">
        <w:rPr>
          <w:sz w:val="24"/>
          <w:szCs w:val="24"/>
        </w:rPr>
        <w:tab/>
        <w:t>Initiation and quarterly</w:t>
      </w:r>
    </w:p>
    <w:p w14:paraId="1051DDB6" w14:textId="77777777" w:rsidR="00225F7C" w:rsidRPr="00C20B96" w:rsidRDefault="00724C97" w:rsidP="00225F7C">
      <w:pPr>
        <w:rPr>
          <w:sz w:val="24"/>
          <w:szCs w:val="24"/>
        </w:rPr>
      </w:pPr>
      <w:r w:rsidRPr="00C20B96">
        <w:rPr>
          <w:sz w:val="24"/>
          <w:szCs w:val="24"/>
        </w:rPr>
        <w:t>Where: supplier / integrator location</w:t>
      </w:r>
    </w:p>
    <w:p w14:paraId="586B9054" w14:textId="2FB34345" w:rsidR="00724C97" w:rsidRPr="00C20B96" w:rsidRDefault="00724C97" w:rsidP="00225F7C">
      <w:pPr>
        <w:rPr>
          <w:sz w:val="24"/>
          <w:szCs w:val="24"/>
        </w:rPr>
      </w:pPr>
      <w:r w:rsidRPr="00C20B96">
        <w:rPr>
          <w:sz w:val="24"/>
          <w:szCs w:val="24"/>
        </w:rPr>
        <w:t>What:  conduct testing/auditing of controls in place to ensure adequate protection of authenticators.</w:t>
      </w:r>
    </w:p>
    <w:p w14:paraId="318CC766" w14:textId="77777777" w:rsidR="00724C97" w:rsidRPr="00C20B96" w:rsidRDefault="00724C97" w:rsidP="00724C97">
      <w:pPr>
        <w:rPr>
          <w:sz w:val="24"/>
          <w:szCs w:val="24"/>
        </w:rPr>
      </w:pPr>
    </w:p>
    <w:p w14:paraId="00CA6894" w14:textId="77777777" w:rsidR="00724C97" w:rsidRPr="00C20B96" w:rsidRDefault="00724C97" w:rsidP="00724C97">
      <w:pPr>
        <w:rPr>
          <w:b/>
          <w:bCs/>
          <w:sz w:val="24"/>
          <w:szCs w:val="24"/>
        </w:rPr>
      </w:pPr>
      <w:r w:rsidRPr="00C20B96">
        <w:rPr>
          <w:b/>
          <w:bCs/>
          <w:sz w:val="24"/>
          <w:szCs w:val="24"/>
        </w:rPr>
        <w:t>Check for robustness of the infrastructure that manages unique identities.</w:t>
      </w:r>
    </w:p>
    <w:p w14:paraId="701AA50B" w14:textId="299FC73C" w:rsidR="00724C97" w:rsidRPr="00C20B96" w:rsidRDefault="00724C97" w:rsidP="00724C97">
      <w:pPr>
        <w:rPr>
          <w:sz w:val="24"/>
          <w:szCs w:val="24"/>
        </w:rPr>
      </w:pPr>
      <w:r w:rsidRPr="00C20B96">
        <w:rPr>
          <w:sz w:val="24"/>
          <w:szCs w:val="24"/>
        </w:rPr>
        <w:t>Who: Duo Security</w:t>
      </w:r>
    </w:p>
    <w:p w14:paraId="493A8870" w14:textId="4C20671D" w:rsidR="00724C97" w:rsidRPr="00C20B96" w:rsidRDefault="00724C97" w:rsidP="00724C97">
      <w:pPr>
        <w:rPr>
          <w:sz w:val="24"/>
          <w:szCs w:val="24"/>
        </w:rPr>
      </w:pPr>
      <w:r w:rsidRPr="00C20B96">
        <w:rPr>
          <w:sz w:val="24"/>
          <w:szCs w:val="24"/>
        </w:rPr>
        <w:t>When: Initiation and during quarterly audit</w:t>
      </w:r>
    </w:p>
    <w:p w14:paraId="65911637" w14:textId="0722CA7C" w:rsidR="00724C97" w:rsidRPr="00C20B96" w:rsidRDefault="00724C97" w:rsidP="00724C97">
      <w:pPr>
        <w:rPr>
          <w:sz w:val="24"/>
          <w:szCs w:val="24"/>
        </w:rPr>
      </w:pPr>
      <w:r w:rsidRPr="00C20B96">
        <w:rPr>
          <w:sz w:val="24"/>
          <w:szCs w:val="24"/>
        </w:rPr>
        <w:t>Where: Supplier/integrator locations</w:t>
      </w:r>
    </w:p>
    <w:p w14:paraId="0A0E1A8B" w14:textId="5CBEA02E" w:rsidR="00724C97" w:rsidRPr="00C20B96" w:rsidRDefault="00724C97" w:rsidP="00225F7C">
      <w:pPr>
        <w:rPr>
          <w:sz w:val="24"/>
          <w:szCs w:val="24"/>
        </w:rPr>
      </w:pPr>
      <w:r w:rsidRPr="00C20B96">
        <w:rPr>
          <w:sz w:val="24"/>
          <w:szCs w:val="24"/>
        </w:rPr>
        <w:t>What: audit for adequate resources and security controls of systems that manage identities.</w:t>
      </w:r>
    </w:p>
    <w:p w14:paraId="5A1D02D0" w14:textId="77777777" w:rsidR="00724C97" w:rsidRPr="00C20B96" w:rsidRDefault="00724C97" w:rsidP="00724C97">
      <w:pPr>
        <w:rPr>
          <w:sz w:val="24"/>
          <w:szCs w:val="24"/>
        </w:rPr>
      </w:pPr>
    </w:p>
    <w:p w14:paraId="2601C7DF" w14:textId="77777777" w:rsidR="00724C97" w:rsidRPr="00C20B96" w:rsidRDefault="00724C97" w:rsidP="00724C97">
      <w:pPr>
        <w:rPr>
          <w:b/>
          <w:bCs/>
          <w:sz w:val="24"/>
          <w:szCs w:val="24"/>
        </w:rPr>
      </w:pPr>
      <w:r w:rsidRPr="00C20B96">
        <w:rPr>
          <w:b/>
          <w:bCs/>
          <w:sz w:val="24"/>
          <w:szCs w:val="24"/>
        </w:rPr>
        <w:t>Assess whether identities can be detected or altered (e.g., counterfeiting of identities/spoofing)</w:t>
      </w:r>
    </w:p>
    <w:p w14:paraId="2D5D757A" w14:textId="5172492C" w:rsidR="00724C97" w:rsidRPr="00C20B96" w:rsidRDefault="00724C97" w:rsidP="00724C97">
      <w:pPr>
        <w:rPr>
          <w:sz w:val="24"/>
          <w:szCs w:val="24"/>
        </w:rPr>
      </w:pPr>
      <w:r w:rsidRPr="00C20B96">
        <w:rPr>
          <w:sz w:val="24"/>
          <w:szCs w:val="24"/>
        </w:rPr>
        <w:t>Who: Duo Security</w:t>
      </w:r>
    </w:p>
    <w:p w14:paraId="75709D63" w14:textId="1FA5572D" w:rsidR="00724C97" w:rsidRPr="00C20B96" w:rsidRDefault="00724C97" w:rsidP="00724C97">
      <w:pPr>
        <w:rPr>
          <w:sz w:val="24"/>
          <w:szCs w:val="24"/>
        </w:rPr>
      </w:pPr>
      <w:r w:rsidRPr="00C20B96">
        <w:rPr>
          <w:sz w:val="24"/>
          <w:szCs w:val="24"/>
        </w:rPr>
        <w:t>When: initiation and quarterly</w:t>
      </w:r>
    </w:p>
    <w:p w14:paraId="7C52D785" w14:textId="2B6CFA05" w:rsidR="00724C97" w:rsidRPr="00C20B96" w:rsidRDefault="00724C97" w:rsidP="00724C97">
      <w:pPr>
        <w:rPr>
          <w:sz w:val="24"/>
          <w:szCs w:val="24"/>
        </w:rPr>
      </w:pPr>
      <w:r w:rsidRPr="00C20B96">
        <w:rPr>
          <w:sz w:val="24"/>
          <w:szCs w:val="24"/>
        </w:rPr>
        <w:t>Where: supplier/integrator locations</w:t>
      </w:r>
    </w:p>
    <w:p w14:paraId="11231390" w14:textId="0EC04D03" w:rsidR="00724C97" w:rsidRPr="00C20B96" w:rsidRDefault="00724C97" w:rsidP="00225F7C">
      <w:pPr>
        <w:rPr>
          <w:sz w:val="24"/>
          <w:szCs w:val="24"/>
        </w:rPr>
      </w:pPr>
      <w:r w:rsidRPr="00C20B96">
        <w:rPr>
          <w:sz w:val="24"/>
          <w:szCs w:val="24"/>
        </w:rPr>
        <w:t>What: audit for proper controls of supply chain process to evaluate potential for counterfeits and spoofing of trusted entities.</w:t>
      </w:r>
    </w:p>
    <w:p w14:paraId="09B233BD" w14:textId="77777777" w:rsidR="00724C97" w:rsidRPr="00C20B96" w:rsidRDefault="00724C97" w:rsidP="00724C97">
      <w:pPr>
        <w:rPr>
          <w:sz w:val="24"/>
          <w:szCs w:val="24"/>
        </w:rPr>
      </w:pPr>
    </w:p>
    <w:p w14:paraId="14778486" w14:textId="17ECA27A" w:rsidR="00724C97" w:rsidRPr="00C20B96" w:rsidRDefault="00225F7C" w:rsidP="00724C97">
      <w:pPr>
        <w:rPr>
          <w:i/>
          <w:iCs/>
          <w:sz w:val="24"/>
          <w:szCs w:val="24"/>
        </w:rPr>
      </w:pPr>
      <w:r w:rsidRPr="00C20B96">
        <w:rPr>
          <w:b/>
          <w:bCs/>
          <w:sz w:val="24"/>
          <w:szCs w:val="24"/>
        </w:rPr>
        <w:t xml:space="preserve">Recommendations: </w:t>
      </w:r>
      <w:r w:rsidR="00724C97" w:rsidRPr="00C20B96">
        <w:rPr>
          <w:i/>
          <w:iCs/>
          <w:sz w:val="24"/>
          <w:szCs w:val="24"/>
        </w:rPr>
        <w:t>In order to facilitate a more informed, secure supply chain, entities within supply chain are to conduct monthly meetings between the acquirer and their supplier. These meetings are to include documentation of all auditable activities as well as any documentation / tracking of processes to ensure provenance. Reports should be complied and separated according to activity (i.e. HR report, Security audits/report, progress report, purchasing/shipping/receiving report, etc.) and will be made available to the next entity directly up the chain. Integrators will be expected to supply their own reports, plus a second report documenting all the suppliers down chain from them.</w:t>
      </w:r>
    </w:p>
    <w:p w14:paraId="1905707F" w14:textId="77777777" w:rsidR="00001078" w:rsidRPr="00B9245E" w:rsidRDefault="00001078" w:rsidP="00A6150B">
      <w:pPr>
        <w:pStyle w:val="NoSpacing"/>
        <w:rPr>
          <w:rFonts w:asciiTheme="minorHAnsi" w:eastAsia="Arial" w:hAnsiTheme="minorHAnsi" w:cstheme="minorHAnsi"/>
          <w:sz w:val="22"/>
          <w:szCs w:val="22"/>
        </w:rPr>
      </w:pPr>
    </w:p>
    <w:p w14:paraId="2D1570E0" w14:textId="77777777" w:rsidR="00C20B96" w:rsidRDefault="00C20B96">
      <w:pPr>
        <w:spacing w:after="160" w:line="259" w:lineRule="auto"/>
        <w:rPr>
          <w:rFonts w:asciiTheme="majorHAnsi" w:eastAsia="Arial" w:hAnsiTheme="majorHAnsi" w:cstheme="majorBidi"/>
          <w:b/>
          <w:bCs/>
          <w:color w:val="1F4D78" w:themeColor="accent1" w:themeShade="7F"/>
          <w:sz w:val="24"/>
          <w:szCs w:val="24"/>
        </w:rPr>
      </w:pPr>
      <w:r>
        <w:rPr>
          <w:rFonts w:eastAsia="Arial"/>
          <w:b/>
          <w:bCs/>
        </w:rPr>
        <w:br w:type="page"/>
      </w:r>
    </w:p>
    <w:p w14:paraId="00B97522" w14:textId="18DE8EB5" w:rsidR="00001078" w:rsidRPr="00DB0901" w:rsidRDefault="00001078" w:rsidP="00550D22">
      <w:pPr>
        <w:pStyle w:val="Heading3"/>
        <w:rPr>
          <w:rFonts w:eastAsia="Arial"/>
          <w:b/>
          <w:bCs/>
          <w:color w:val="2E74B5" w:themeColor="accent1" w:themeShade="BF"/>
        </w:rPr>
      </w:pPr>
      <w:r w:rsidRPr="00DB0901">
        <w:rPr>
          <w:rFonts w:eastAsia="Arial"/>
          <w:b/>
          <w:bCs/>
          <w:color w:val="2E74B5" w:themeColor="accent1" w:themeShade="BF"/>
        </w:rPr>
        <w:lastRenderedPageBreak/>
        <w:t>References</w:t>
      </w:r>
    </w:p>
    <w:p w14:paraId="7F753F55" w14:textId="77777777" w:rsidR="005C22B5" w:rsidRPr="00C20B96" w:rsidRDefault="005C22B5" w:rsidP="005C22B5">
      <w:pPr>
        <w:spacing w:after="240"/>
        <w:rPr>
          <w:sz w:val="24"/>
          <w:szCs w:val="24"/>
        </w:rPr>
      </w:pPr>
      <w:r w:rsidRPr="00C20B96">
        <w:rPr>
          <w:sz w:val="24"/>
          <w:szCs w:val="24"/>
        </w:rPr>
        <w:t>Sigler, Ken, </w:t>
      </w:r>
      <w:r w:rsidRPr="00C20B96">
        <w:rPr>
          <w:rFonts w:eastAsiaTheme="majorEastAsia"/>
          <w:sz w:val="24"/>
          <w:szCs w:val="24"/>
        </w:rPr>
        <w:t>Dan Shoemaker</w:t>
      </w:r>
      <w:r w:rsidRPr="00C20B96">
        <w:rPr>
          <w:sz w:val="24"/>
          <w:szCs w:val="24"/>
        </w:rPr>
        <w:t> and, </w:t>
      </w:r>
      <w:r w:rsidRPr="00C20B96">
        <w:rPr>
          <w:rFonts w:eastAsiaTheme="majorEastAsia"/>
          <w:sz w:val="24"/>
          <w:szCs w:val="24"/>
        </w:rPr>
        <w:t xml:space="preserve">Anne Kohnke, </w:t>
      </w:r>
      <w:r w:rsidRPr="00C20B96">
        <w:rPr>
          <w:sz w:val="24"/>
          <w:szCs w:val="24"/>
        </w:rPr>
        <w:t>Supply Chain Risk Management: Applying Secure Acquisition Principles to Ensure a Trusted Technology Product, Auerbach Publications; (Internal Audit and IT Audit) 1st Edition, November 3, 2017</w:t>
      </w:r>
    </w:p>
    <w:p w14:paraId="5949B42D" w14:textId="6F7B0009" w:rsidR="00BD2F65" w:rsidRPr="00C20B96" w:rsidRDefault="00A06B0F" w:rsidP="00A06B0F">
      <w:pPr>
        <w:spacing w:after="25"/>
        <w:ind w:right="32"/>
        <w:rPr>
          <w:sz w:val="24"/>
          <w:szCs w:val="24"/>
        </w:rPr>
      </w:pPr>
      <w:r w:rsidRPr="00C20B96">
        <w:rPr>
          <w:sz w:val="24"/>
          <w:szCs w:val="24"/>
        </w:rPr>
        <w:t xml:space="preserve">Shoemaker, </w:t>
      </w:r>
      <w:r w:rsidR="005C22B5" w:rsidRPr="00C20B96">
        <w:rPr>
          <w:sz w:val="24"/>
          <w:szCs w:val="24"/>
        </w:rPr>
        <w:t>Dan,</w:t>
      </w:r>
      <w:r w:rsidRPr="00C20B96">
        <w:rPr>
          <w:sz w:val="24"/>
          <w:szCs w:val="24"/>
        </w:rPr>
        <w:t xml:space="preserve"> and Kenneth Sigler, “Cybersecurity: Engineering a More Secure IT Organization”, Cengage Learning, 2014</w:t>
      </w:r>
      <w:r w:rsidR="00BD2F65" w:rsidRPr="00C20B96">
        <w:rPr>
          <w:sz w:val="24"/>
          <w:szCs w:val="24"/>
        </w:rPr>
        <w:t xml:space="preserve">, Chapters 5 and 7 </w:t>
      </w:r>
    </w:p>
    <w:p w14:paraId="7B9212F6" w14:textId="77777777" w:rsidR="00BD2F65" w:rsidRPr="00C20B96" w:rsidRDefault="00BD2F65" w:rsidP="00A76E57">
      <w:pPr>
        <w:spacing w:after="240"/>
        <w:rPr>
          <w:sz w:val="24"/>
          <w:szCs w:val="24"/>
        </w:rPr>
      </w:pPr>
      <w:r w:rsidRPr="00C20B96">
        <w:rPr>
          <w:sz w:val="24"/>
          <w:szCs w:val="24"/>
        </w:rPr>
        <w:t xml:space="preserve">ISO 27001 and ISO 27002 (provided as BS7799) </w:t>
      </w:r>
    </w:p>
    <w:p w14:paraId="2DEE67CC" w14:textId="77777777" w:rsidR="00BD2F65" w:rsidRPr="00C20B96" w:rsidRDefault="00BD2F65" w:rsidP="00A76E57">
      <w:pPr>
        <w:spacing w:after="240"/>
        <w:rPr>
          <w:sz w:val="24"/>
          <w:szCs w:val="24"/>
        </w:rPr>
      </w:pPr>
      <w:r w:rsidRPr="00C20B96">
        <w:rPr>
          <w:sz w:val="24"/>
          <w:szCs w:val="24"/>
        </w:rPr>
        <w:t xml:space="preserve">IEEE 1028-1997 Standard for Software Reviews  </w:t>
      </w:r>
    </w:p>
    <w:p w14:paraId="2E10BD79" w14:textId="77777777" w:rsidR="00BD2F65" w:rsidRPr="00C20B96" w:rsidRDefault="00BD2F65" w:rsidP="00A76E57">
      <w:pPr>
        <w:spacing w:after="240"/>
        <w:rPr>
          <w:sz w:val="24"/>
          <w:szCs w:val="24"/>
        </w:rPr>
      </w:pPr>
      <w:r w:rsidRPr="00C20B96">
        <w:rPr>
          <w:sz w:val="24"/>
          <w:szCs w:val="24"/>
        </w:rPr>
        <w:t xml:space="preserve">ISO/IEC 9126 – 1991 Software Product Evaluation - Quality Characteristics and Guidelines for Their Use (can be read as ISO/IEC 9126- 96) </w:t>
      </w:r>
    </w:p>
    <w:p w14:paraId="5341A5EB" w14:textId="77777777" w:rsidR="00BD2F65" w:rsidRPr="00C20B96" w:rsidRDefault="00BD2F65" w:rsidP="00A76E57">
      <w:pPr>
        <w:spacing w:after="240"/>
        <w:rPr>
          <w:sz w:val="24"/>
          <w:szCs w:val="24"/>
        </w:rPr>
      </w:pPr>
      <w:r w:rsidRPr="00C20B96">
        <w:rPr>
          <w:sz w:val="24"/>
          <w:szCs w:val="24"/>
        </w:rPr>
        <w:t xml:space="preserve">IEEE 610 - Standard Glossary of Software Engineering Terminology </w:t>
      </w:r>
    </w:p>
    <w:p w14:paraId="188715D8" w14:textId="77777777" w:rsidR="00BD2F65" w:rsidRPr="00C20B96" w:rsidRDefault="00BD2F65" w:rsidP="00A76E57">
      <w:pPr>
        <w:spacing w:after="240"/>
        <w:rPr>
          <w:sz w:val="24"/>
          <w:szCs w:val="24"/>
        </w:rPr>
      </w:pPr>
      <w:r w:rsidRPr="00C20B96">
        <w:rPr>
          <w:sz w:val="24"/>
          <w:szCs w:val="24"/>
        </w:rPr>
        <w:t xml:space="preserve">The Common Weakness Enumeration http://cwe.mitre.org/ </w:t>
      </w:r>
    </w:p>
    <w:p w14:paraId="115DC169" w14:textId="6B1FBF52" w:rsidR="00BD2F65" w:rsidRPr="00C20B96" w:rsidRDefault="00BD2F65" w:rsidP="00A76E57">
      <w:pPr>
        <w:spacing w:after="240"/>
        <w:rPr>
          <w:sz w:val="24"/>
          <w:szCs w:val="24"/>
        </w:rPr>
      </w:pPr>
      <w:r w:rsidRPr="00C20B96">
        <w:rPr>
          <w:sz w:val="24"/>
          <w:szCs w:val="24"/>
        </w:rPr>
        <w:t>Foreign Ownership, Influence or Control Investigations (FOCI)</w:t>
      </w:r>
      <w:r w:rsidR="005C22B5" w:rsidRPr="00C20B96">
        <w:rPr>
          <w:sz w:val="24"/>
          <w:szCs w:val="24"/>
        </w:rPr>
        <w:t xml:space="preserve"> </w:t>
      </w:r>
      <w:r w:rsidRPr="00C20B96">
        <w:rPr>
          <w:sz w:val="24"/>
          <w:szCs w:val="24"/>
        </w:rPr>
        <w:t xml:space="preserve">http://www.dss.mil/isp/foci/foci_info.html  </w:t>
      </w:r>
    </w:p>
    <w:p w14:paraId="5CBD5281" w14:textId="77777777" w:rsidR="005C22B5" w:rsidRPr="00A76E57" w:rsidRDefault="005C22B5">
      <w:pPr>
        <w:spacing w:after="240"/>
        <w:rPr>
          <w:rFonts w:asciiTheme="minorHAnsi" w:hAnsiTheme="minorHAnsi" w:cstheme="minorHAnsi"/>
          <w:sz w:val="24"/>
          <w:szCs w:val="24"/>
        </w:rPr>
      </w:pPr>
    </w:p>
    <w:sectPr w:rsidR="005C22B5" w:rsidRPr="00A76E57" w:rsidSect="00331461">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527247" w14:textId="77777777" w:rsidR="004C0F24" w:rsidRDefault="004C0F24" w:rsidP="00350565">
      <w:r>
        <w:separator/>
      </w:r>
    </w:p>
  </w:endnote>
  <w:endnote w:type="continuationSeparator" w:id="0">
    <w:p w14:paraId="348A8544" w14:textId="77777777" w:rsidR="004C0F24" w:rsidRDefault="004C0F24" w:rsidP="00350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49514403"/>
      <w:docPartObj>
        <w:docPartGallery w:val="Page Numbers (Bottom of Page)"/>
        <w:docPartUnique/>
      </w:docPartObj>
    </w:sdtPr>
    <w:sdtEndPr>
      <w:rPr>
        <w:noProof/>
      </w:rPr>
    </w:sdtEndPr>
    <w:sdtContent>
      <w:p w14:paraId="0640EF00" w14:textId="7C3870CD" w:rsidR="00331461" w:rsidRDefault="00331461">
        <w:pPr>
          <w:pStyle w:val="Footer"/>
          <w:jc w:val="right"/>
        </w:pPr>
        <w:r>
          <w:fldChar w:fldCharType="begin"/>
        </w:r>
        <w:r>
          <w:instrText xml:space="preserve"> PAGE   \* MERGEFORMAT </w:instrText>
        </w:r>
        <w:r>
          <w:fldChar w:fldCharType="separate"/>
        </w:r>
        <w:r w:rsidR="00DD6F4D">
          <w:rPr>
            <w:noProof/>
          </w:rPr>
          <w:t>4</w:t>
        </w:r>
        <w:r>
          <w:rPr>
            <w:noProof/>
          </w:rPr>
          <w:fldChar w:fldCharType="end"/>
        </w:r>
      </w:p>
    </w:sdtContent>
  </w:sdt>
  <w:p w14:paraId="31A2254E" w14:textId="77777777" w:rsidR="00331461" w:rsidRDefault="003314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74759A" w14:textId="77777777" w:rsidR="004C0F24" w:rsidRDefault="004C0F24" w:rsidP="00350565">
      <w:r>
        <w:separator/>
      </w:r>
    </w:p>
  </w:footnote>
  <w:footnote w:type="continuationSeparator" w:id="0">
    <w:p w14:paraId="552960E3" w14:textId="77777777" w:rsidR="004C0F24" w:rsidRDefault="004C0F24" w:rsidP="00350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CF692" w14:textId="77777777" w:rsidR="00325FB4" w:rsidRPr="00325FB4" w:rsidRDefault="00325FB4" w:rsidP="00325FB4">
    <w:pPr>
      <w:rPr>
        <w:rFonts w:eastAsia="Arial"/>
      </w:rPr>
    </w:pPr>
  </w:p>
  <w:p w14:paraId="236833AE" w14:textId="77777777" w:rsidR="00325FB4" w:rsidRPr="00325FB4" w:rsidRDefault="00325FB4" w:rsidP="00325FB4">
    <w:pPr>
      <w:rPr>
        <w:rFonts w:eastAsia="Arial"/>
      </w:rPr>
    </w:pPr>
  </w:p>
  <w:p w14:paraId="3AAFAC04" w14:textId="77777777" w:rsidR="00325FB4" w:rsidRDefault="00325F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E11F3"/>
    <w:multiLevelType w:val="hybridMultilevel"/>
    <w:tmpl w:val="9E6E65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F5FC8"/>
    <w:multiLevelType w:val="hybridMultilevel"/>
    <w:tmpl w:val="946EB650"/>
    <w:lvl w:ilvl="0" w:tplc="D45A2CF4">
      <w:start w:val="1"/>
      <w:numFmt w:val="decimal"/>
      <w:lvlText w:val="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5247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E53346F"/>
    <w:multiLevelType w:val="hybridMultilevel"/>
    <w:tmpl w:val="7DFE1EDE"/>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D80222"/>
    <w:multiLevelType w:val="hybridMultilevel"/>
    <w:tmpl w:val="6C0212FE"/>
    <w:lvl w:ilvl="0" w:tplc="95B48E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4873E7E"/>
    <w:multiLevelType w:val="hybridMultilevel"/>
    <w:tmpl w:val="A80C761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645071F"/>
    <w:multiLevelType w:val="hybridMultilevel"/>
    <w:tmpl w:val="8B98D45A"/>
    <w:lvl w:ilvl="0" w:tplc="9F4A4538">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664931"/>
    <w:multiLevelType w:val="hybridMultilevel"/>
    <w:tmpl w:val="5EBE2494"/>
    <w:lvl w:ilvl="0" w:tplc="9F4A45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35A6EE8"/>
    <w:multiLevelType w:val="hybridMultilevel"/>
    <w:tmpl w:val="DEF031D4"/>
    <w:lvl w:ilvl="0" w:tplc="4748FA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5543D74"/>
    <w:multiLevelType w:val="hybridMultilevel"/>
    <w:tmpl w:val="35CA1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A109BF"/>
    <w:multiLevelType w:val="hybridMultilevel"/>
    <w:tmpl w:val="48CAC668"/>
    <w:lvl w:ilvl="0" w:tplc="0504C31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4F9026B"/>
    <w:multiLevelType w:val="hybridMultilevel"/>
    <w:tmpl w:val="F188B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974D9D"/>
    <w:multiLevelType w:val="hybridMultilevel"/>
    <w:tmpl w:val="7EDEA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CD0656"/>
    <w:multiLevelType w:val="hybridMultilevel"/>
    <w:tmpl w:val="A3207776"/>
    <w:lvl w:ilvl="0" w:tplc="9F4A453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16D472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C854396"/>
    <w:multiLevelType w:val="hybridMultilevel"/>
    <w:tmpl w:val="904C3E4C"/>
    <w:lvl w:ilvl="0" w:tplc="94E46F2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D9106DB"/>
    <w:multiLevelType w:val="hybridMultilevel"/>
    <w:tmpl w:val="BB10F24A"/>
    <w:lvl w:ilvl="0" w:tplc="9F4A45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261BB0"/>
    <w:multiLevelType w:val="hybridMultilevel"/>
    <w:tmpl w:val="021C6C3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937E74"/>
    <w:multiLevelType w:val="hybridMultilevel"/>
    <w:tmpl w:val="C520FD2C"/>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15:restartNumberingAfterBreak="0">
    <w:nsid w:val="4FC15B69"/>
    <w:multiLevelType w:val="hybridMultilevel"/>
    <w:tmpl w:val="C0B0D80C"/>
    <w:lvl w:ilvl="0" w:tplc="09229932">
      <w:start w:val="1"/>
      <w:numFmt w:val="decimal"/>
      <w:lvlText w:val="%1)"/>
      <w:lvlJc w:val="left"/>
      <w:pPr>
        <w:ind w:left="1081" w:hanging="360"/>
      </w:pPr>
      <w:rPr>
        <w:rFonts w:hint="default"/>
      </w:rPr>
    </w:lvl>
    <w:lvl w:ilvl="1" w:tplc="04090019" w:tentative="1">
      <w:start w:val="1"/>
      <w:numFmt w:val="lowerLetter"/>
      <w:lvlText w:val="%2."/>
      <w:lvlJc w:val="left"/>
      <w:pPr>
        <w:ind w:left="1801" w:hanging="360"/>
      </w:p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20" w15:restartNumberingAfterBreak="0">
    <w:nsid w:val="52125460"/>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6D868D9"/>
    <w:multiLevelType w:val="hybridMultilevel"/>
    <w:tmpl w:val="E7ECF48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5C3A6FB3"/>
    <w:multiLevelType w:val="hybridMultilevel"/>
    <w:tmpl w:val="93AEF60E"/>
    <w:lvl w:ilvl="0" w:tplc="09229932">
      <w:start w:val="1"/>
      <w:numFmt w:val="decimal"/>
      <w:lvlText w:val="%1)"/>
      <w:lvlJc w:val="left"/>
      <w:pPr>
        <w:ind w:left="1081" w:hanging="360"/>
      </w:pPr>
      <w:rPr>
        <w:rFonts w:hint="default"/>
      </w:rPr>
    </w:lvl>
    <w:lvl w:ilvl="1" w:tplc="04090019">
      <w:start w:val="1"/>
      <w:numFmt w:val="lowerLetter"/>
      <w:lvlText w:val="%2."/>
      <w:lvlJc w:val="left"/>
      <w:pPr>
        <w:ind w:left="1801" w:hanging="360"/>
      </w:pPr>
    </w:lvl>
    <w:lvl w:ilvl="2" w:tplc="0409001B">
      <w:start w:val="1"/>
      <w:numFmt w:val="lowerRoman"/>
      <w:lvlText w:val="%3."/>
      <w:lvlJc w:val="right"/>
      <w:pPr>
        <w:ind w:left="2521" w:hanging="180"/>
      </w:pPr>
    </w:lvl>
    <w:lvl w:ilvl="3" w:tplc="7DEADBDC">
      <w:start w:val="3"/>
      <w:numFmt w:val="bullet"/>
      <w:lvlText w:val=""/>
      <w:lvlJc w:val="left"/>
      <w:pPr>
        <w:ind w:left="3241" w:hanging="360"/>
      </w:pPr>
      <w:rPr>
        <w:rFonts w:ascii="Symbol" w:eastAsia="Times New Roman" w:hAnsi="Symbol" w:cs="Calibri" w:hint="default"/>
      </w:r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23" w15:restartNumberingAfterBreak="0">
    <w:nsid w:val="5C4212C5"/>
    <w:multiLevelType w:val="hybridMultilevel"/>
    <w:tmpl w:val="EB408D44"/>
    <w:lvl w:ilvl="0" w:tplc="61D48A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D066998"/>
    <w:multiLevelType w:val="hybridMultilevel"/>
    <w:tmpl w:val="5844C3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345E4E"/>
    <w:multiLevelType w:val="hybridMultilevel"/>
    <w:tmpl w:val="6016ACF0"/>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AA68E2"/>
    <w:multiLevelType w:val="hybridMultilevel"/>
    <w:tmpl w:val="B6DCC0A2"/>
    <w:lvl w:ilvl="0" w:tplc="09229932">
      <w:start w:val="1"/>
      <w:numFmt w:val="decimal"/>
      <w:lvlText w:val="%1)"/>
      <w:lvlJc w:val="left"/>
      <w:pPr>
        <w:ind w:left="1081" w:hanging="360"/>
      </w:pPr>
      <w:rPr>
        <w:rFonts w:hint="default"/>
      </w:rPr>
    </w:lvl>
    <w:lvl w:ilvl="1" w:tplc="04090019">
      <w:start w:val="1"/>
      <w:numFmt w:val="lowerLetter"/>
      <w:lvlText w:val="%2."/>
      <w:lvlJc w:val="left"/>
      <w:pPr>
        <w:ind w:left="1801" w:hanging="360"/>
      </w:pPr>
    </w:lvl>
    <w:lvl w:ilvl="2" w:tplc="0409001B">
      <w:start w:val="1"/>
      <w:numFmt w:val="lowerRoman"/>
      <w:lvlText w:val="%3."/>
      <w:lvlJc w:val="right"/>
      <w:pPr>
        <w:ind w:left="2521" w:hanging="180"/>
      </w:pPr>
    </w:lvl>
    <w:lvl w:ilvl="3" w:tplc="7DEADBDC">
      <w:start w:val="3"/>
      <w:numFmt w:val="bullet"/>
      <w:lvlText w:val=""/>
      <w:lvlJc w:val="left"/>
      <w:pPr>
        <w:ind w:left="3241" w:hanging="360"/>
      </w:pPr>
      <w:rPr>
        <w:rFonts w:ascii="Symbol" w:eastAsia="Times New Roman" w:hAnsi="Symbol" w:cs="Calibri" w:hint="default"/>
      </w:r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27" w15:restartNumberingAfterBreak="0">
    <w:nsid w:val="6161143D"/>
    <w:multiLevelType w:val="hybridMultilevel"/>
    <w:tmpl w:val="4CDA99CC"/>
    <w:lvl w:ilvl="0" w:tplc="BD04DA7E">
      <w:start w:val="1"/>
      <w:numFmt w:val="decimal"/>
      <w:lvlText w:val="%1."/>
      <w:lvlJc w:val="left"/>
      <w:pPr>
        <w:ind w:left="7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596C6F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9A0818C">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8ECBB5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AACB1B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30E60CE">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000FB6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1C06E1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974CA9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78B08F3"/>
    <w:multiLevelType w:val="hybridMultilevel"/>
    <w:tmpl w:val="1F2658D6"/>
    <w:lvl w:ilvl="0" w:tplc="0409001B">
      <w:start w:val="1"/>
      <w:numFmt w:val="lowerRoman"/>
      <w:lvlText w:val="%1."/>
      <w:lvlJc w:val="right"/>
      <w:pPr>
        <w:ind w:left="2521" w:hanging="360"/>
      </w:pPr>
    </w:lvl>
    <w:lvl w:ilvl="1" w:tplc="04090019">
      <w:start w:val="1"/>
      <w:numFmt w:val="lowerLetter"/>
      <w:lvlText w:val="%2."/>
      <w:lvlJc w:val="left"/>
      <w:pPr>
        <w:ind w:left="3241" w:hanging="360"/>
      </w:pPr>
    </w:lvl>
    <w:lvl w:ilvl="2" w:tplc="0409001B">
      <w:start w:val="1"/>
      <w:numFmt w:val="lowerRoman"/>
      <w:lvlText w:val="%3."/>
      <w:lvlJc w:val="right"/>
      <w:pPr>
        <w:ind w:left="3961" w:hanging="180"/>
      </w:pPr>
    </w:lvl>
    <w:lvl w:ilvl="3" w:tplc="0409000F" w:tentative="1">
      <w:start w:val="1"/>
      <w:numFmt w:val="decimal"/>
      <w:lvlText w:val="%4."/>
      <w:lvlJc w:val="left"/>
      <w:pPr>
        <w:ind w:left="4681" w:hanging="360"/>
      </w:pPr>
    </w:lvl>
    <w:lvl w:ilvl="4" w:tplc="04090019" w:tentative="1">
      <w:start w:val="1"/>
      <w:numFmt w:val="lowerLetter"/>
      <w:lvlText w:val="%5."/>
      <w:lvlJc w:val="left"/>
      <w:pPr>
        <w:ind w:left="5401" w:hanging="360"/>
      </w:pPr>
    </w:lvl>
    <w:lvl w:ilvl="5" w:tplc="0409001B" w:tentative="1">
      <w:start w:val="1"/>
      <w:numFmt w:val="lowerRoman"/>
      <w:lvlText w:val="%6."/>
      <w:lvlJc w:val="right"/>
      <w:pPr>
        <w:ind w:left="6121" w:hanging="180"/>
      </w:pPr>
    </w:lvl>
    <w:lvl w:ilvl="6" w:tplc="0409000F" w:tentative="1">
      <w:start w:val="1"/>
      <w:numFmt w:val="decimal"/>
      <w:lvlText w:val="%7."/>
      <w:lvlJc w:val="left"/>
      <w:pPr>
        <w:ind w:left="6841" w:hanging="360"/>
      </w:pPr>
    </w:lvl>
    <w:lvl w:ilvl="7" w:tplc="04090019" w:tentative="1">
      <w:start w:val="1"/>
      <w:numFmt w:val="lowerLetter"/>
      <w:lvlText w:val="%8."/>
      <w:lvlJc w:val="left"/>
      <w:pPr>
        <w:ind w:left="7561" w:hanging="360"/>
      </w:pPr>
    </w:lvl>
    <w:lvl w:ilvl="8" w:tplc="0409001B" w:tentative="1">
      <w:start w:val="1"/>
      <w:numFmt w:val="lowerRoman"/>
      <w:lvlText w:val="%9."/>
      <w:lvlJc w:val="right"/>
      <w:pPr>
        <w:ind w:left="8281" w:hanging="180"/>
      </w:pPr>
    </w:lvl>
  </w:abstractNum>
  <w:abstractNum w:abstractNumId="29" w15:restartNumberingAfterBreak="0">
    <w:nsid w:val="6829324C"/>
    <w:multiLevelType w:val="hybridMultilevel"/>
    <w:tmpl w:val="B53C717A"/>
    <w:lvl w:ilvl="0" w:tplc="D45A2CF4">
      <w:start w:val="1"/>
      <w:numFmt w:val="decimal"/>
      <w:lvlText w:val="A.%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42074E"/>
    <w:multiLevelType w:val="hybridMultilevel"/>
    <w:tmpl w:val="C8BEA51E"/>
    <w:lvl w:ilvl="0" w:tplc="095A3C32">
      <w:start w:val="1"/>
      <w:numFmt w:val="bullet"/>
      <w:lvlText w:val="•"/>
      <w:lvlJc w:val="left"/>
      <w:pPr>
        <w:ind w:left="7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0D65070">
      <w:start w:val="1"/>
      <w:numFmt w:val="bullet"/>
      <w:lvlText w:val="o"/>
      <w:lvlJc w:val="left"/>
      <w:pPr>
        <w:ind w:left="14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F007586">
      <w:start w:val="1"/>
      <w:numFmt w:val="bullet"/>
      <w:lvlText w:val="▪"/>
      <w:lvlJc w:val="left"/>
      <w:pPr>
        <w:ind w:left="21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54893C4">
      <w:start w:val="1"/>
      <w:numFmt w:val="bullet"/>
      <w:lvlText w:val="•"/>
      <w:lvlJc w:val="left"/>
      <w:pPr>
        <w:ind w:left="28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2A833EA">
      <w:start w:val="1"/>
      <w:numFmt w:val="bullet"/>
      <w:lvlText w:val="o"/>
      <w:lvlJc w:val="left"/>
      <w:pPr>
        <w:ind w:left="36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A2C2A68">
      <w:start w:val="1"/>
      <w:numFmt w:val="bullet"/>
      <w:lvlText w:val="▪"/>
      <w:lvlJc w:val="left"/>
      <w:pPr>
        <w:ind w:left="43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BB49DBC">
      <w:start w:val="1"/>
      <w:numFmt w:val="bullet"/>
      <w:lvlText w:val="•"/>
      <w:lvlJc w:val="left"/>
      <w:pPr>
        <w:ind w:left="5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B38CBA4">
      <w:start w:val="1"/>
      <w:numFmt w:val="bullet"/>
      <w:lvlText w:val="o"/>
      <w:lvlJc w:val="left"/>
      <w:pPr>
        <w:ind w:left="57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26E4558">
      <w:start w:val="1"/>
      <w:numFmt w:val="bullet"/>
      <w:lvlText w:val="▪"/>
      <w:lvlJc w:val="left"/>
      <w:pPr>
        <w:ind w:left="64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B7072C7"/>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6D1F1380"/>
    <w:multiLevelType w:val="hybridMultilevel"/>
    <w:tmpl w:val="66A2C43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6F240039"/>
    <w:multiLevelType w:val="hybridMultilevel"/>
    <w:tmpl w:val="641AD2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2620D"/>
    <w:multiLevelType w:val="hybridMultilevel"/>
    <w:tmpl w:val="AF26E70E"/>
    <w:lvl w:ilvl="0" w:tplc="0409000F">
      <w:start w:val="1"/>
      <w:numFmt w:val="decimal"/>
      <w:lvlText w:val="%1."/>
      <w:lvlJc w:val="left"/>
      <w:pPr>
        <w:ind w:left="721" w:hanging="360"/>
      </w:p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35" w15:restartNumberingAfterBreak="0">
    <w:nsid w:val="72D52F3B"/>
    <w:multiLevelType w:val="hybridMultilevel"/>
    <w:tmpl w:val="4958387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4C869F0"/>
    <w:multiLevelType w:val="hybridMultilevel"/>
    <w:tmpl w:val="43EC4408"/>
    <w:lvl w:ilvl="0" w:tplc="159C6A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A1E127A"/>
    <w:multiLevelType w:val="hybridMultilevel"/>
    <w:tmpl w:val="D22A3CB0"/>
    <w:lvl w:ilvl="0" w:tplc="0409001B">
      <w:start w:val="1"/>
      <w:numFmt w:val="lowerRoman"/>
      <w:lvlText w:val="%1."/>
      <w:lvlJc w:val="right"/>
      <w:pPr>
        <w:ind w:left="2521" w:hanging="360"/>
      </w:pPr>
    </w:lvl>
    <w:lvl w:ilvl="1" w:tplc="04090019" w:tentative="1">
      <w:start w:val="1"/>
      <w:numFmt w:val="lowerLetter"/>
      <w:lvlText w:val="%2."/>
      <w:lvlJc w:val="left"/>
      <w:pPr>
        <w:ind w:left="3241" w:hanging="360"/>
      </w:pPr>
    </w:lvl>
    <w:lvl w:ilvl="2" w:tplc="0409001B" w:tentative="1">
      <w:start w:val="1"/>
      <w:numFmt w:val="lowerRoman"/>
      <w:lvlText w:val="%3."/>
      <w:lvlJc w:val="right"/>
      <w:pPr>
        <w:ind w:left="3961" w:hanging="180"/>
      </w:pPr>
    </w:lvl>
    <w:lvl w:ilvl="3" w:tplc="0409000F" w:tentative="1">
      <w:start w:val="1"/>
      <w:numFmt w:val="decimal"/>
      <w:lvlText w:val="%4."/>
      <w:lvlJc w:val="left"/>
      <w:pPr>
        <w:ind w:left="4681" w:hanging="360"/>
      </w:pPr>
    </w:lvl>
    <w:lvl w:ilvl="4" w:tplc="04090019" w:tentative="1">
      <w:start w:val="1"/>
      <w:numFmt w:val="lowerLetter"/>
      <w:lvlText w:val="%5."/>
      <w:lvlJc w:val="left"/>
      <w:pPr>
        <w:ind w:left="5401" w:hanging="360"/>
      </w:pPr>
    </w:lvl>
    <w:lvl w:ilvl="5" w:tplc="0409001B" w:tentative="1">
      <w:start w:val="1"/>
      <w:numFmt w:val="lowerRoman"/>
      <w:lvlText w:val="%6."/>
      <w:lvlJc w:val="right"/>
      <w:pPr>
        <w:ind w:left="6121" w:hanging="180"/>
      </w:pPr>
    </w:lvl>
    <w:lvl w:ilvl="6" w:tplc="0409000F" w:tentative="1">
      <w:start w:val="1"/>
      <w:numFmt w:val="decimal"/>
      <w:lvlText w:val="%7."/>
      <w:lvlJc w:val="left"/>
      <w:pPr>
        <w:ind w:left="6841" w:hanging="360"/>
      </w:pPr>
    </w:lvl>
    <w:lvl w:ilvl="7" w:tplc="04090019" w:tentative="1">
      <w:start w:val="1"/>
      <w:numFmt w:val="lowerLetter"/>
      <w:lvlText w:val="%8."/>
      <w:lvlJc w:val="left"/>
      <w:pPr>
        <w:ind w:left="7561" w:hanging="360"/>
      </w:pPr>
    </w:lvl>
    <w:lvl w:ilvl="8" w:tplc="0409001B" w:tentative="1">
      <w:start w:val="1"/>
      <w:numFmt w:val="lowerRoman"/>
      <w:lvlText w:val="%9."/>
      <w:lvlJc w:val="right"/>
      <w:pPr>
        <w:ind w:left="8281" w:hanging="180"/>
      </w:pPr>
    </w:lvl>
  </w:abstractNum>
  <w:abstractNum w:abstractNumId="38" w15:restartNumberingAfterBreak="0">
    <w:nsid w:val="7EEB4EAB"/>
    <w:multiLevelType w:val="hybridMultilevel"/>
    <w:tmpl w:val="68CA6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1"/>
  </w:num>
  <w:num w:numId="3">
    <w:abstractNumId w:val="33"/>
  </w:num>
  <w:num w:numId="4">
    <w:abstractNumId w:val="24"/>
  </w:num>
  <w:num w:numId="5">
    <w:abstractNumId w:val="38"/>
  </w:num>
  <w:num w:numId="6">
    <w:abstractNumId w:val="3"/>
  </w:num>
  <w:num w:numId="7">
    <w:abstractNumId w:val="25"/>
  </w:num>
  <w:num w:numId="8">
    <w:abstractNumId w:val="9"/>
  </w:num>
  <w:num w:numId="9">
    <w:abstractNumId w:val="17"/>
  </w:num>
  <w:num w:numId="10">
    <w:abstractNumId w:val="6"/>
  </w:num>
  <w:num w:numId="11">
    <w:abstractNumId w:val="7"/>
  </w:num>
  <w:num w:numId="12">
    <w:abstractNumId w:val="8"/>
  </w:num>
  <w:num w:numId="13">
    <w:abstractNumId w:val="13"/>
  </w:num>
  <w:num w:numId="14">
    <w:abstractNumId w:val="23"/>
  </w:num>
  <w:num w:numId="15">
    <w:abstractNumId w:val="4"/>
  </w:num>
  <w:num w:numId="16">
    <w:abstractNumId w:val="10"/>
  </w:num>
  <w:num w:numId="17">
    <w:abstractNumId w:val="36"/>
  </w:num>
  <w:num w:numId="18">
    <w:abstractNumId w:val="15"/>
  </w:num>
  <w:num w:numId="19">
    <w:abstractNumId w:val="2"/>
  </w:num>
  <w:num w:numId="20">
    <w:abstractNumId w:val="14"/>
  </w:num>
  <w:num w:numId="21">
    <w:abstractNumId w:val="29"/>
  </w:num>
  <w:num w:numId="22">
    <w:abstractNumId w:val="1"/>
  </w:num>
  <w:num w:numId="23">
    <w:abstractNumId w:val="21"/>
  </w:num>
  <w:num w:numId="24">
    <w:abstractNumId w:val="32"/>
  </w:num>
  <w:num w:numId="25">
    <w:abstractNumId w:val="5"/>
  </w:num>
  <w:num w:numId="26">
    <w:abstractNumId w:val="20"/>
  </w:num>
  <w:num w:numId="27">
    <w:abstractNumId w:val="31"/>
  </w:num>
  <w:num w:numId="28">
    <w:abstractNumId w:val="16"/>
  </w:num>
  <w:num w:numId="29">
    <w:abstractNumId w:val="35"/>
  </w:num>
  <w:num w:numId="30">
    <w:abstractNumId w:val="27"/>
  </w:num>
  <w:num w:numId="31">
    <w:abstractNumId w:val="30"/>
  </w:num>
  <w:num w:numId="32">
    <w:abstractNumId w:val="19"/>
  </w:num>
  <w:num w:numId="33">
    <w:abstractNumId w:val="26"/>
  </w:num>
  <w:num w:numId="34">
    <w:abstractNumId w:val="28"/>
  </w:num>
  <w:num w:numId="35">
    <w:abstractNumId w:val="18"/>
  </w:num>
  <w:num w:numId="36">
    <w:abstractNumId w:val="22"/>
  </w:num>
  <w:num w:numId="37">
    <w:abstractNumId w:val="37"/>
  </w:num>
  <w:num w:numId="38">
    <w:abstractNumId w:val="0"/>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546"/>
    <w:rsid w:val="00001078"/>
    <w:rsid w:val="0005270F"/>
    <w:rsid w:val="00071A1B"/>
    <w:rsid w:val="00074F32"/>
    <w:rsid w:val="000944AE"/>
    <w:rsid w:val="000B29D2"/>
    <w:rsid w:val="000C4D53"/>
    <w:rsid w:val="000D25E0"/>
    <w:rsid w:val="000E393A"/>
    <w:rsid w:val="000E7FE1"/>
    <w:rsid w:val="0011481A"/>
    <w:rsid w:val="00116A27"/>
    <w:rsid w:val="00125729"/>
    <w:rsid w:val="001268AF"/>
    <w:rsid w:val="001433A4"/>
    <w:rsid w:val="00145500"/>
    <w:rsid w:val="0016128A"/>
    <w:rsid w:val="001838D9"/>
    <w:rsid w:val="001A1F95"/>
    <w:rsid w:val="001A542B"/>
    <w:rsid w:val="001F3BD1"/>
    <w:rsid w:val="00206667"/>
    <w:rsid w:val="00225F7C"/>
    <w:rsid w:val="00227F58"/>
    <w:rsid w:val="0024058C"/>
    <w:rsid w:val="0029060D"/>
    <w:rsid w:val="002B7157"/>
    <w:rsid w:val="00325FB4"/>
    <w:rsid w:val="00330F4E"/>
    <w:rsid w:val="00331461"/>
    <w:rsid w:val="00334A05"/>
    <w:rsid w:val="00350565"/>
    <w:rsid w:val="0035429C"/>
    <w:rsid w:val="00371030"/>
    <w:rsid w:val="003731A5"/>
    <w:rsid w:val="00383A15"/>
    <w:rsid w:val="00397A02"/>
    <w:rsid w:val="003B3504"/>
    <w:rsid w:val="003B4CB6"/>
    <w:rsid w:val="003D263E"/>
    <w:rsid w:val="00421E1B"/>
    <w:rsid w:val="00435E5F"/>
    <w:rsid w:val="00446704"/>
    <w:rsid w:val="00447F01"/>
    <w:rsid w:val="0047667A"/>
    <w:rsid w:val="00476DC4"/>
    <w:rsid w:val="00487D49"/>
    <w:rsid w:val="004B5571"/>
    <w:rsid w:val="004C0F24"/>
    <w:rsid w:val="00505CCF"/>
    <w:rsid w:val="00513C82"/>
    <w:rsid w:val="00513FDA"/>
    <w:rsid w:val="00550D22"/>
    <w:rsid w:val="00565701"/>
    <w:rsid w:val="005669CE"/>
    <w:rsid w:val="0057224E"/>
    <w:rsid w:val="00575DC8"/>
    <w:rsid w:val="00583B22"/>
    <w:rsid w:val="005965C4"/>
    <w:rsid w:val="005B04E2"/>
    <w:rsid w:val="005C22B5"/>
    <w:rsid w:val="005E1D97"/>
    <w:rsid w:val="006006D2"/>
    <w:rsid w:val="00605556"/>
    <w:rsid w:val="00640F7E"/>
    <w:rsid w:val="00661FFC"/>
    <w:rsid w:val="006629DE"/>
    <w:rsid w:val="00670C20"/>
    <w:rsid w:val="0067728F"/>
    <w:rsid w:val="006B7A86"/>
    <w:rsid w:val="006D461D"/>
    <w:rsid w:val="00707C17"/>
    <w:rsid w:val="00724C97"/>
    <w:rsid w:val="007303FC"/>
    <w:rsid w:val="00735B5E"/>
    <w:rsid w:val="007627ED"/>
    <w:rsid w:val="00764B7F"/>
    <w:rsid w:val="00776CD6"/>
    <w:rsid w:val="0077762D"/>
    <w:rsid w:val="00786D26"/>
    <w:rsid w:val="007879AA"/>
    <w:rsid w:val="007A2D49"/>
    <w:rsid w:val="007C0CDB"/>
    <w:rsid w:val="007E0B8F"/>
    <w:rsid w:val="007E7882"/>
    <w:rsid w:val="007F68B8"/>
    <w:rsid w:val="00847FB9"/>
    <w:rsid w:val="008511FD"/>
    <w:rsid w:val="008533FD"/>
    <w:rsid w:val="00855E9C"/>
    <w:rsid w:val="008C130D"/>
    <w:rsid w:val="008C2C74"/>
    <w:rsid w:val="008D5281"/>
    <w:rsid w:val="00926569"/>
    <w:rsid w:val="0093157F"/>
    <w:rsid w:val="00954D27"/>
    <w:rsid w:val="00966821"/>
    <w:rsid w:val="009A2C22"/>
    <w:rsid w:val="00A01ED1"/>
    <w:rsid w:val="00A06B0F"/>
    <w:rsid w:val="00A07FFC"/>
    <w:rsid w:val="00A14D5C"/>
    <w:rsid w:val="00A23289"/>
    <w:rsid w:val="00A315BC"/>
    <w:rsid w:val="00A47A65"/>
    <w:rsid w:val="00A6150B"/>
    <w:rsid w:val="00A6591D"/>
    <w:rsid w:val="00A76E57"/>
    <w:rsid w:val="00A77A5C"/>
    <w:rsid w:val="00A83531"/>
    <w:rsid w:val="00A9595C"/>
    <w:rsid w:val="00AE0C53"/>
    <w:rsid w:val="00AE1A17"/>
    <w:rsid w:val="00AF6F89"/>
    <w:rsid w:val="00B009D3"/>
    <w:rsid w:val="00B017CB"/>
    <w:rsid w:val="00B1447E"/>
    <w:rsid w:val="00B3599E"/>
    <w:rsid w:val="00B72052"/>
    <w:rsid w:val="00B7360A"/>
    <w:rsid w:val="00B77A86"/>
    <w:rsid w:val="00B9245E"/>
    <w:rsid w:val="00B97AA0"/>
    <w:rsid w:val="00BB6CB1"/>
    <w:rsid w:val="00BB7C4D"/>
    <w:rsid w:val="00BC11BD"/>
    <w:rsid w:val="00BC4A5F"/>
    <w:rsid w:val="00BC6D4B"/>
    <w:rsid w:val="00BD2F65"/>
    <w:rsid w:val="00BD3ED4"/>
    <w:rsid w:val="00BD603D"/>
    <w:rsid w:val="00BE5546"/>
    <w:rsid w:val="00C17552"/>
    <w:rsid w:val="00C20B96"/>
    <w:rsid w:val="00C3135C"/>
    <w:rsid w:val="00C32966"/>
    <w:rsid w:val="00C35AE7"/>
    <w:rsid w:val="00C51799"/>
    <w:rsid w:val="00C65EA9"/>
    <w:rsid w:val="00C74353"/>
    <w:rsid w:val="00C93774"/>
    <w:rsid w:val="00CA7530"/>
    <w:rsid w:val="00CB1F01"/>
    <w:rsid w:val="00CC301E"/>
    <w:rsid w:val="00CE5BDC"/>
    <w:rsid w:val="00D26CED"/>
    <w:rsid w:val="00D35ECE"/>
    <w:rsid w:val="00D606C5"/>
    <w:rsid w:val="00D701FD"/>
    <w:rsid w:val="00D724DF"/>
    <w:rsid w:val="00D7262A"/>
    <w:rsid w:val="00D7375B"/>
    <w:rsid w:val="00D77DA7"/>
    <w:rsid w:val="00D82BA3"/>
    <w:rsid w:val="00DB0901"/>
    <w:rsid w:val="00DB6033"/>
    <w:rsid w:val="00DD5F72"/>
    <w:rsid w:val="00DD6F4D"/>
    <w:rsid w:val="00DE2588"/>
    <w:rsid w:val="00DE7C18"/>
    <w:rsid w:val="00DF7635"/>
    <w:rsid w:val="00DF7F20"/>
    <w:rsid w:val="00E0649D"/>
    <w:rsid w:val="00E1505E"/>
    <w:rsid w:val="00E24714"/>
    <w:rsid w:val="00E45D16"/>
    <w:rsid w:val="00E50814"/>
    <w:rsid w:val="00E748F4"/>
    <w:rsid w:val="00E8339C"/>
    <w:rsid w:val="00EA01EA"/>
    <w:rsid w:val="00EA118C"/>
    <w:rsid w:val="00EA1359"/>
    <w:rsid w:val="00EB16B9"/>
    <w:rsid w:val="00EB52B6"/>
    <w:rsid w:val="00EB5928"/>
    <w:rsid w:val="00F01B64"/>
    <w:rsid w:val="00F10850"/>
    <w:rsid w:val="00F25CAF"/>
    <w:rsid w:val="00F360B4"/>
    <w:rsid w:val="00F80CBA"/>
    <w:rsid w:val="00F8245B"/>
    <w:rsid w:val="00F83DC9"/>
    <w:rsid w:val="00FB3F2C"/>
    <w:rsid w:val="00FB4CCA"/>
    <w:rsid w:val="00FC60DE"/>
    <w:rsid w:val="00FD54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574AE"/>
  <w15:chartTrackingRefBased/>
  <w15:docId w15:val="{99B4C396-8B4F-4BA7-B92A-AEC7EA920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54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BE55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E554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75DC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E5546"/>
    <w:rPr>
      <w:color w:val="0000FF"/>
      <w:u w:val="single"/>
    </w:rPr>
  </w:style>
  <w:style w:type="paragraph" w:customStyle="1" w:styleId="MediumGrid1-Accent21">
    <w:name w:val="Medium Grid 1 - Accent 21"/>
    <w:basedOn w:val="Normal"/>
    <w:rsid w:val="00BE5546"/>
    <w:pPr>
      <w:suppressAutoHyphens/>
      <w:spacing w:after="200" w:line="276" w:lineRule="auto"/>
      <w:ind w:left="720"/>
    </w:pPr>
    <w:rPr>
      <w:rFonts w:ascii="Calibri" w:eastAsia="Calibri" w:hAnsi="Calibri"/>
      <w:sz w:val="22"/>
      <w:szCs w:val="22"/>
      <w:lang w:eastAsia="ar-SA"/>
    </w:rPr>
  </w:style>
  <w:style w:type="paragraph" w:styleId="ListParagraph">
    <w:name w:val="List Paragraph"/>
    <w:basedOn w:val="Normal"/>
    <w:uiPriority w:val="34"/>
    <w:qFormat/>
    <w:rsid w:val="00BE5546"/>
    <w:pPr>
      <w:ind w:left="720"/>
      <w:contextualSpacing/>
    </w:pPr>
  </w:style>
  <w:style w:type="paragraph" w:styleId="IntenseQuote">
    <w:name w:val="Intense Quote"/>
    <w:basedOn w:val="Normal"/>
    <w:next w:val="Normal"/>
    <w:link w:val="IntenseQuoteChar"/>
    <w:uiPriority w:val="30"/>
    <w:qFormat/>
    <w:rsid w:val="00BE554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E5546"/>
    <w:rPr>
      <w:rFonts w:ascii="Times New Roman" w:eastAsia="Times New Roman" w:hAnsi="Times New Roman" w:cs="Times New Roman"/>
      <w:i/>
      <w:iCs/>
      <w:color w:val="5B9BD5" w:themeColor="accent1"/>
      <w:sz w:val="20"/>
      <w:szCs w:val="20"/>
    </w:rPr>
  </w:style>
  <w:style w:type="character" w:customStyle="1" w:styleId="Heading1Char">
    <w:name w:val="Heading 1 Char"/>
    <w:basedOn w:val="DefaultParagraphFont"/>
    <w:link w:val="Heading1"/>
    <w:uiPriority w:val="9"/>
    <w:rsid w:val="00BE554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E5546"/>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6629DE"/>
    <w:rPr>
      <w:color w:val="954F72" w:themeColor="followedHyperlink"/>
      <w:u w:val="single"/>
    </w:rPr>
  </w:style>
  <w:style w:type="paragraph" w:styleId="FootnoteText">
    <w:name w:val="footnote text"/>
    <w:basedOn w:val="Normal"/>
    <w:link w:val="FootnoteTextChar"/>
    <w:uiPriority w:val="99"/>
    <w:semiHidden/>
    <w:unhideWhenUsed/>
    <w:rsid w:val="00350565"/>
  </w:style>
  <w:style w:type="character" w:customStyle="1" w:styleId="FootnoteTextChar">
    <w:name w:val="Footnote Text Char"/>
    <w:basedOn w:val="DefaultParagraphFont"/>
    <w:link w:val="FootnoteText"/>
    <w:uiPriority w:val="99"/>
    <w:semiHidden/>
    <w:rsid w:val="0035056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350565"/>
    <w:rPr>
      <w:vertAlign w:val="superscript"/>
    </w:rPr>
  </w:style>
  <w:style w:type="paragraph" w:styleId="Header">
    <w:name w:val="header"/>
    <w:basedOn w:val="Normal"/>
    <w:link w:val="HeaderChar"/>
    <w:uiPriority w:val="99"/>
    <w:unhideWhenUsed/>
    <w:rsid w:val="00325FB4"/>
    <w:pPr>
      <w:tabs>
        <w:tab w:val="center" w:pos="4680"/>
        <w:tab w:val="right" w:pos="9360"/>
      </w:tabs>
    </w:pPr>
  </w:style>
  <w:style w:type="character" w:customStyle="1" w:styleId="HeaderChar">
    <w:name w:val="Header Char"/>
    <w:basedOn w:val="DefaultParagraphFont"/>
    <w:link w:val="Header"/>
    <w:uiPriority w:val="99"/>
    <w:rsid w:val="00325FB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25FB4"/>
    <w:pPr>
      <w:tabs>
        <w:tab w:val="center" w:pos="4680"/>
        <w:tab w:val="right" w:pos="9360"/>
      </w:tabs>
    </w:pPr>
  </w:style>
  <w:style w:type="character" w:customStyle="1" w:styleId="FooterChar">
    <w:name w:val="Footer Char"/>
    <w:basedOn w:val="DefaultParagraphFont"/>
    <w:link w:val="Footer"/>
    <w:uiPriority w:val="99"/>
    <w:rsid w:val="00325FB4"/>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rsid w:val="00575DC8"/>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6D461D"/>
    <w:pPr>
      <w:spacing w:after="0" w:line="240" w:lineRule="auto"/>
    </w:pPr>
    <w:rPr>
      <w:rFonts w:ascii="Times New Roman" w:eastAsia="Times New Roman" w:hAnsi="Times New Roman" w:cs="Times New Roman"/>
      <w:sz w:val="20"/>
      <w:szCs w:val="20"/>
    </w:rPr>
  </w:style>
  <w:style w:type="character" w:customStyle="1" w:styleId="UnresolvedMention1">
    <w:name w:val="Unresolved Mention1"/>
    <w:basedOn w:val="DefaultParagraphFont"/>
    <w:uiPriority w:val="99"/>
    <w:semiHidden/>
    <w:unhideWhenUsed/>
    <w:rsid w:val="0035429C"/>
    <w:rPr>
      <w:color w:val="605E5C"/>
      <w:shd w:val="clear" w:color="auto" w:fill="E1DFDD"/>
    </w:rPr>
  </w:style>
  <w:style w:type="table" w:styleId="TableGrid">
    <w:name w:val="Table Grid"/>
    <w:basedOn w:val="TableNormal"/>
    <w:uiPriority w:val="39"/>
    <w:rsid w:val="00B924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FD54B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size-extra-large">
    <w:name w:val="a-size-extra-large"/>
    <w:basedOn w:val="DefaultParagraphFont"/>
    <w:rsid w:val="00FC60DE"/>
  </w:style>
  <w:style w:type="character" w:customStyle="1" w:styleId="a-size-large">
    <w:name w:val="a-size-large"/>
    <w:basedOn w:val="DefaultParagraphFont"/>
    <w:rsid w:val="00FC60DE"/>
  </w:style>
  <w:style w:type="character" w:customStyle="1" w:styleId="author">
    <w:name w:val="author"/>
    <w:basedOn w:val="DefaultParagraphFont"/>
    <w:rsid w:val="00FC60DE"/>
  </w:style>
  <w:style w:type="character" w:customStyle="1" w:styleId="a-color-secondary">
    <w:name w:val="a-color-secondary"/>
    <w:basedOn w:val="DefaultParagraphFont"/>
    <w:rsid w:val="00FC60DE"/>
  </w:style>
  <w:style w:type="character" w:customStyle="1" w:styleId="a-declarative">
    <w:name w:val="a-declarative"/>
    <w:basedOn w:val="DefaultParagraphFont"/>
    <w:rsid w:val="00FC60DE"/>
  </w:style>
  <w:style w:type="paragraph" w:styleId="NormalWeb">
    <w:name w:val="Normal (Web)"/>
    <w:basedOn w:val="Normal"/>
    <w:uiPriority w:val="99"/>
    <w:unhideWhenUsed/>
    <w:rsid w:val="00CE5BDC"/>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8330405">
      <w:bodyDiv w:val="1"/>
      <w:marLeft w:val="0"/>
      <w:marRight w:val="0"/>
      <w:marTop w:val="0"/>
      <w:marBottom w:val="0"/>
      <w:divBdr>
        <w:top w:val="none" w:sz="0" w:space="0" w:color="auto"/>
        <w:left w:val="none" w:sz="0" w:space="0" w:color="auto"/>
        <w:bottom w:val="none" w:sz="0" w:space="0" w:color="auto"/>
        <w:right w:val="none" w:sz="0" w:space="0" w:color="auto"/>
      </w:divBdr>
      <w:divsChild>
        <w:div w:id="916204056">
          <w:marLeft w:val="0"/>
          <w:marRight w:val="0"/>
          <w:marTop w:val="0"/>
          <w:marBottom w:val="0"/>
          <w:divBdr>
            <w:top w:val="none" w:sz="0" w:space="0" w:color="auto"/>
            <w:left w:val="none" w:sz="0" w:space="0" w:color="auto"/>
            <w:bottom w:val="none" w:sz="0" w:space="0" w:color="auto"/>
            <w:right w:val="none" w:sz="0" w:space="0" w:color="auto"/>
          </w:divBdr>
          <w:divsChild>
            <w:div w:id="1794519372">
              <w:marLeft w:val="0"/>
              <w:marRight w:val="0"/>
              <w:marTop w:val="0"/>
              <w:marBottom w:val="0"/>
              <w:divBdr>
                <w:top w:val="none" w:sz="0" w:space="0" w:color="auto"/>
                <w:left w:val="none" w:sz="0" w:space="0" w:color="auto"/>
                <w:bottom w:val="none" w:sz="0" w:space="0" w:color="auto"/>
                <w:right w:val="none" w:sz="0" w:space="0" w:color="auto"/>
              </w:divBdr>
            </w:div>
          </w:divsChild>
        </w:div>
        <w:div w:id="1126849967">
          <w:marLeft w:val="0"/>
          <w:marRight w:val="0"/>
          <w:marTop w:val="0"/>
          <w:marBottom w:val="0"/>
          <w:divBdr>
            <w:top w:val="none" w:sz="0" w:space="0" w:color="auto"/>
            <w:left w:val="none" w:sz="0" w:space="0" w:color="auto"/>
            <w:bottom w:val="none" w:sz="0" w:space="0" w:color="auto"/>
            <w:right w:val="none" w:sz="0" w:space="0" w:color="auto"/>
          </w:divBdr>
          <w:divsChild>
            <w:div w:id="182461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62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0139E-A143-4534-B1C3-AD5F018E7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1859</Words>
  <Characters>10338</Characters>
  <Application>Microsoft Office Word</Application>
  <DocSecurity>0</DocSecurity>
  <Lines>252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kohnkean@udmercy.edu</dc:creator>
  <cp:keywords/>
  <dc:description/>
  <cp:lastModifiedBy>Anne Kohnke</cp:lastModifiedBy>
  <cp:revision>6</cp:revision>
  <dcterms:created xsi:type="dcterms:W3CDTF">2021-04-02T15:54:00Z</dcterms:created>
  <dcterms:modified xsi:type="dcterms:W3CDTF">2021-04-07T12:16:00Z</dcterms:modified>
</cp:coreProperties>
</file>