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Stakeholder A: The Drugsdealer</w:t>
      </w:r>
      <w:r>
        <w:rPr>
          <w:rFonts w:ascii="Times New Roman" w:cs="Times New Roman" w:hAnsi="Times New Roman" w:eastAsia="Times New Roman"/>
          <w:b w:val="1"/>
          <w:bCs w:val="1"/>
        </w:rPr>
        <w:drawing xmlns:a="http://schemas.openxmlformats.org/drawingml/2006/main">
          <wp:anchor distT="152400" distB="152400" distL="152400" distR="152400" simplePos="0" relativeHeight="251659264" behindDoc="0" locked="0" layoutInCell="1" allowOverlap="1">
            <wp:simplePos x="0" y="0"/>
            <wp:positionH relativeFrom="margin">
              <wp:posOffset>-6350</wp:posOffset>
            </wp:positionH>
            <wp:positionV relativeFrom="line">
              <wp:posOffset>311958</wp:posOffset>
            </wp:positionV>
            <wp:extent cx="3123444" cy="4162342"/>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4">
                      <a:extLst/>
                    </a:blip>
                    <a:stretch>
                      <a:fillRect/>
                    </a:stretch>
                  </pic:blipFill>
                  <pic:spPr>
                    <a:xfrm>
                      <a:off x="0" y="0"/>
                      <a:ext cx="3123444" cy="4162342"/>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single"/>
          <w:rtl w:val="0"/>
          <w:lang w:val="en-US"/>
        </w:rPr>
        <w:t>Profile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 xml:space="preserve">The drugsdealer is a powerful person who manages rather than commits crimes.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 xml:space="preserve">To cover up his illegal dealings, he is also involved in legal activities.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The drugsdealer is highly aware of his place in the drugs trade hierarchy. Above him in rank are the big players from whom he buys, below him are the drugs runners to whom he sells. It is a rough world, and in response the drugsdealer has adopted an opportunistic attitude in his pursuit of money and power.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single"/>
          <w:rtl w:val="0"/>
          <w:lang w:val="en-US"/>
        </w:rPr>
        <w:t>Attitude towards appointments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 xml:space="preserve">The drugsdealer has two agendas, one legal and one illegal. The information about his illegal activities is very sensitive. It should not fall into the wrong hands, be it </w:t>
      </w:r>
      <w:r>
        <w:rPr>
          <w:rFonts w:ascii="Times New Roman" w:hAnsi="Times New Roman" w:hint="default"/>
          <w:u w:val="none"/>
          <w:rtl w:val="1"/>
        </w:rPr>
        <w:t>‘</w:t>
      </w:r>
      <w:r>
        <w:rPr>
          <w:rFonts w:ascii="Times New Roman" w:hAnsi="Times New Roman"/>
          <w:u w:val="none"/>
          <w:rtl w:val="0"/>
          <w:lang w:val="en-US"/>
        </w:rPr>
        <w:t>colleagues</w:t>
      </w:r>
      <w:r>
        <w:rPr>
          <w:rFonts w:ascii="Times New Roman" w:hAnsi="Times New Roman" w:hint="default"/>
          <w:u w:val="none"/>
          <w:rtl w:val="1"/>
        </w:rPr>
        <w:t xml:space="preserve">’ </w:t>
      </w:r>
      <w:r>
        <w:rPr>
          <w:rFonts w:ascii="Times New Roman" w:hAnsi="Times New Roman"/>
          <w:u w:val="none"/>
          <w:rtl w:val="0"/>
          <w:lang w:val="en-US"/>
        </w:rPr>
        <w:t>or the police. Clearly, he is very careful with whom he makes appointments and where. Meeting places are specified by their characteristics. Roads which will allow a quick get</w:t>
      </w:r>
      <w:r>
        <w:rPr>
          <w:rFonts w:ascii="Times New Roman" w:hAnsi="Times New Roman"/>
          <w:u w:val="none"/>
          <w:rtl w:val="0"/>
          <w:lang w:val="en-US"/>
        </w:rPr>
        <w:t>-</w:t>
      </w:r>
      <w:r>
        <w:rPr>
          <w:rFonts w:ascii="Times New Roman" w:hAnsi="Times New Roman"/>
          <w:u w:val="none"/>
          <w:rtl w:val="0"/>
          <w:lang w:val="en-US"/>
        </w:rPr>
        <w:t xml:space="preserve">away and buildings which will provide cover are important considerations.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single"/>
        </w:rPr>
      </w:pPr>
      <w:r>
        <w:rPr>
          <w:rFonts w:ascii="Times New Roman" w:hAnsi="Times New Roman"/>
          <w:u w:val="none"/>
          <w:rtl w:val="0"/>
          <w:lang w:val="en-US"/>
        </w:rPr>
        <w:t>The drugsdealer does not plan very far ahead. Dealers come and go; the scene may look very different next week. The drugsdealer is ambivalent about exposing his appointments. On the one hand, they contain sensitive information. On the other, exposing them means enforcing his position in the hierarchy, a kind of powerplay which draws new trade. In his appointments he needs to express his respect</w:t>
      </w:r>
      <w:r>
        <w:rPr>
          <w:rFonts w:ascii="Times New Roman" w:hAnsi="Times New Roman"/>
          <w:u w:val="none"/>
          <w:rtl w:val="0"/>
          <w:lang w:val="en-US"/>
        </w:rPr>
        <w:t xml:space="preserve"> for the big players and his superiority over the smaller dealers to whom he sells.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single"/>
        </w:rPr>
      </w:pPr>
      <w:r>
        <w:rPr>
          <w:rFonts w:ascii="Times New Roman" w:hAnsi="Times New Roman"/>
          <w:u w:val="single"/>
          <w:rtl w:val="0"/>
          <w:lang w:val="en-US"/>
        </w:rPr>
        <w:t>Security goal summary</w:t>
      </w:r>
    </w:p>
    <w:p>
      <w:pPr>
        <w:pStyle w:val="Body"/>
        <w:numPr>
          <w:ilvl w:val="0"/>
          <w:numId w:val="2"/>
        </w:numPr>
        <w:rPr>
          <w:rFonts w:ascii="Times New Roman" w:hAnsi="Times New Roman"/>
          <w:lang w:val="en-US"/>
        </w:rPr>
      </w:pPr>
      <w:r>
        <w:rPr>
          <w:rFonts w:ascii="Times New Roman" w:hAnsi="Times New Roman"/>
          <w:rtl w:val="0"/>
          <w:lang w:val="en-US"/>
        </w:rPr>
        <w:t>Role-based access control on illegal agenda.</w:t>
      </w:r>
    </w:p>
    <w:p>
      <w:pPr>
        <w:pStyle w:val="Body"/>
        <w:numPr>
          <w:ilvl w:val="0"/>
          <w:numId w:val="2"/>
        </w:numPr>
        <w:rPr>
          <w:rFonts w:ascii="Times New Roman" w:hAnsi="Times New Roman"/>
          <w:lang w:val="en-US"/>
        </w:rPr>
      </w:pPr>
      <w:r>
        <w:rPr>
          <w:rFonts w:ascii="Times New Roman" w:hAnsi="Times New Roman"/>
          <w:rtl w:val="0"/>
          <w:lang w:val="en-US"/>
        </w:rPr>
        <w:t>All data on the handset should be wiped if illegal agenda data is compromised.</w:t>
      </w:r>
    </w:p>
    <w:p>
      <w:pPr>
        <w:pStyle w:val="Body"/>
        <w:numPr>
          <w:ilvl w:val="0"/>
          <w:numId w:val="2"/>
        </w:numPr>
        <w:rPr>
          <w:rFonts w:ascii="Times New Roman" w:hAnsi="Times New Roman"/>
          <w:lang w:val="en-US"/>
        </w:rPr>
      </w:pPr>
      <w:r>
        <w:rPr>
          <w:rFonts w:ascii="Times New Roman" w:hAnsi="Times New Roman"/>
          <w:rtl w:val="0"/>
          <w:lang w:val="en-US"/>
        </w:rPr>
        <w:t>Meeting place characteristics should be captured.</w:t>
      </w:r>
    </w:p>
    <w:p>
      <w:pPr>
        <w:pStyle w:val="Body"/>
        <w:numPr>
          <w:ilvl w:val="0"/>
          <w:numId w:val="2"/>
        </w:numPr>
        <w:rPr>
          <w:rFonts w:ascii="Times New Roman" w:hAnsi="Times New Roman"/>
          <w:lang w:val="en-US"/>
        </w:rPr>
      </w:pPr>
      <w:r>
        <w:rPr>
          <w:rFonts w:ascii="Times New Roman" w:hAnsi="Times New Roman"/>
          <w:rtl w:val="0"/>
          <w:lang w:val="en-US"/>
        </w:rPr>
        <w:t>Role-based access control on the visibility of meeting place characteristics.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singl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sz w:val="20"/>
          <w:szCs w:val="20"/>
        </w:rPr>
      </w:pPr>
      <w:r>
        <w:rPr>
          <w:rFonts w:ascii="Times New Roman" w:hAnsi="Times New Roman"/>
          <w:i w:val="1"/>
          <w:iCs w:val="1"/>
          <w:sz w:val="20"/>
          <w:szCs w:val="20"/>
          <w:rtl w:val="0"/>
          <w:lang w:val="en-US"/>
        </w:rPr>
        <w:t>Description taken from:</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i w:val="1"/>
          <w:iCs w:val="1"/>
          <w:sz w:val="20"/>
          <w:szCs w:val="20"/>
          <w:rtl w:val="0"/>
          <w:lang w:val="en-US"/>
        </w:rPr>
        <w:t xml:space="preserve">Djajadiningrat, J. P., Gaver, W. W., and Fres, J. W. Interaction relabelling and extreme characters: methods for exploring aesthetic interactions. In DIS </w:t>
      </w:r>
      <w:r>
        <w:rPr>
          <w:rFonts w:ascii="Times New Roman" w:hAnsi="Times New Roman" w:hint="default"/>
          <w:i w:val="1"/>
          <w:iCs w:val="1"/>
          <w:sz w:val="20"/>
          <w:szCs w:val="20"/>
          <w:rtl w:val="1"/>
        </w:rPr>
        <w:t>’</w:t>
      </w:r>
      <w:r>
        <w:rPr>
          <w:rFonts w:ascii="Times New Roman" w:hAnsi="Times New Roman"/>
          <w:i w:val="1"/>
          <w:iCs w:val="1"/>
          <w:sz w:val="20"/>
          <w:szCs w:val="20"/>
          <w:rtl w:val="0"/>
          <w:lang w:val="en-US"/>
        </w:rPr>
        <w:t>00: Proceedings of the 3rd conference on Designing interactive systems (New York, NY, USA, 2000), ACM, pp. 66</w:t>
      </w:r>
      <w:r>
        <w:rPr>
          <w:rFonts w:ascii="Times New Roman" w:hAnsi="Times New Roman" w:hint="default"/>
          <w:i w:val="1"/>
          <w:iCs w:val="1"/>
          <w:sz w:val="20"/>
          <w:szCs w:val="20"/>
          <w:rtl w:val="0"/>
        </w:rPr>
        <w:t>–</w:t>
      </w:r>
      <w:r>
        <w:rPr>
          <w:rFonts w:ascii="Times New Roman" w:hAnsi="Times New Roman"/>
          <w:i w:val="1"/>
          <w:iCs w:val="1"/>
          <w:sz w:val="20"/>
          <w:szCs w:val="20"/>
          <w:rtl w:val="0"/>
        </w:rPr>
        <w:t>71.</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