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4A89EDD2" w14:textId="77777777" w:rsidR="000E7FE1" w:rsidRDefault="000E7FE1" w:rsidP="00325FB4">
      <w:pPr>
        <w:pStyle w:val="Heading2"/>
        <w:spacing w:before="0"/>
        <w:rPr>
          <w:sz w:val="40"/>
          <w:szCs w:val="40"/>
        </w:rPr>
      </w:pPr>
    </w:p>
    <w:p w14:paraId="2317B28F" w14:textId="6C2F9311" w:rsidR="00A6150B" w:rsidRPr="00E3036A" w:rsidRDefault="00371030" w:rsidP="00325FB4">
      <w:pPr>
        <w:pStyle w:val="Heading2"/>
        <w:spacing w:before="0"/>
        <w:rPr>
          <w:b/>
          <w:bCs/>
          <w:sz w:val="40"/>
          <w:szCs w:val="40"/>
        </w:rPr>
      </w:pPr>
      <w:r w:rsidRPr="00E3036A">
        <w:rPr>
          <w:b/>
          <w:bCs/>
          <w:sz w:val="40"/>
          <w:szCs w:val="40"/>
        </w:rPr>
        <w:t>Secure Acquisition Case</w:t>
      </w:r>
      <w:r w:rsidR="00911331" w:rsidRPr="00E3036A">
        <w:rPr>
          <w:b/>
          <w:bCs/>
          <w:sz w:val="40"/>
          <w:szCs w:val="40"/>
        </w:rPr>
        <w:t xml:space="preserve"> Study</w:t>
      </w:r>
      <w:r w:rsidRPr="00E3036A">
        <w:rPr>
          <w:b/>
          <w:bCs/>
          <w:sz w:val="40"/>
          <w:szCs w:val="40"/>
        </w:rPr>
        <w:t xml:space="preserve"> </w:t>
      </w:r>
      <w:r w:rsidR="00B1447E" w:rsidRPr="00E3036A">
        <w:rPr>
          <w:b/>
          <w:bCs/>
          <w:sz w:val="40"/>
          <w:szCs w:val="40"/>
        </w:rPr>
        <w:t>2</w:t>
      </w:r>
      <w:r w:rsidRPr="00E3036A">
        <w:rPr>
          <w:b/>
          <w:bCs/>
          <w:sz w:val="40"/>
          <w:szCs w:val="40"/>
        </w:rPr>
        <w:t xml:space="preserve">: </w:t>
      </w:r>
      <w:r w:rsidR="00EA118C" w:rsidRPr="00E3036A">
        <w:rPr>
          <w:b/>
          <w:bCs/>
          <w:sz w:val="40"/>
          <w:szCs w:val="40"/>
        </w:rPr>
        <w:t>Acquisition/SCRM Project Risk Analysis</w:t>
      </w:r>
    </w:p>
    <w:p w14:paraId="24101B36" w14:textId="77777777" w:rsidR="005B04E2" w:rsidRPr="00E3036A" w:rsidRDefault="005B04E2" w:rsidP="005B04E2">
      <w:pPr>
        <w:rPr>
          <w:rFonts w:eastAsia="Arial"/>
          <w:b/>
          <w:bCs/>
          <w:color w:val="2E74B5" w:themeColor="accent1" w:themeShade="BF"/>
        </w:rPr>
      </w:pPr>
    </w:p>
    <w:p w14:paraId="2C5B2334" w14:textId="74513D08" w:rsidR="00325FB4" w:rsidRPr="00E3036A" w:rsidRDefault="00371030" w:rsidP="00A6150B">
      <w:pPr>
        <w:pStyle w:val="Heading2"/>
        <w:spacing w:before="0"/>
        <w:rPr>
          <w:b/>
          <w:bCs/>
          <w:sz w:val="36"/>
          <w:szCs w:val="36"/>
        </w:rPr>
      </w:pPr>
      <w:r w:rsidRPr="00E3036A">
        <w:rPr>
          <w:rFonts w:eastAsia="Arial"/>
          <w:b/>
          <w:bCs/>
          <w:sz w:val="36"/>
          <w:szCs w:val="36"/>
        </w:rPr>
        <w:t>Dan Shoemaker, University of Detroit Mercy</w:t>
      </w:r>
    </w:p>
    <w:p w14:paraId="37133866" w14:textId="77777777" w:rsidR="00325FB4" w:rsidRPr="00E3036A" w:rsidRDefault="00325FB4">
      <w:pPr>
        <w:spacing w:after="160" w:line="259" w:lineRule="auto"/>
        <w:rPr>
          <w:color w:val="2E74B5" w:themeColor="accent1" w:themeShade="BF"/>
        </w:rPr>
      </w:pPr>
    </w:p>
    <w:p w14:paraId="541F8030" w14:textId="77777777" w:rsidR="00325FB4" w:rsidRPr="00E3036A" w:rsidRDefault="00325FB4">
      <w:pPr>
        <w:spacing w:after="160" w:line="259" w:lineRule="auto"/>
        <w:rPr>
          <w:color w:val="2E74B5" w:themeColor="accent1" w:themeShade="BF"/>
        </w:rPr>
      </w:pPr>
    </w:p>
    <w:p w14:paraId="391A7604" w14:textId="77777777" w:rsidR="00325FB4" w:rsidRDefault="00325FB4">
      <w:pPr>
        <w:spacing w:after="160" w:line="259" w:lineRule="auto"/>
      </w:pPr>
    </w:p>
    <w:p w14:paraId="5889A98D" w14:textId="77777777" w:rsidR="00325FB4" w:rsidRDefault="00325FB4">
      <w:pPr>
        <w:spacing w:after="160" w:line="259" w:lineRule="auto"/>
      </w:pPr>
    </w:p>
    <w:p w14:paraId="42BCE6DC" w14:textId="77777777" w:rsidR="00325FB4" w:rsidRDefault="00325FB4">
      <w:pPr>
        <w:spacing w:after="160" w:line="259" w:lineRule="auto"/>
      </w:pPr>
    </w:p>
    <w:p w14:paraId="593D3F36" w14:textId="3AC79978" w:rsidR="00325FB4" w:rsidRPr="00325FB4" w:rsidRDefault="00155C37">
      <w:pPr>
        <w:spacing w:after="160" w:line="259" w:lineRule="auto"/>
        <w:rPr>
          <w:rFonts w:asciiTheme="minorHAnsi" w:hAnsiTheme="minorHAnsi" w:cstheme="minorHAnsi"/>
          <w:b/>
          <w:bCs/>
        </w:rPr>
      </w:pPr>
      <w:r>
        <w:rPr>
          <w:rFonts w:asciiTheme="minorHAnsi" w:hAnsiTheme="minorHAnsi" w:cstheme="minorHAnsi"/>
          <w:b/>
          <w:bCs/>
        </w:rPr>
        <w:t>April</w:t>
      </w:r>
      <w:r w:rsidR="00A6150B">
        <w:rPr>
          <w:rFonts w:asciiTheme="minorHAnsi" w:hAnsiTheme="minorHAnsi" w:cstheme="minorHAnsi"/>
          <w:b/>
          <w:bCs/>
        </w:rPr>
        <w:t xml:space="preserve"> 2021</w:t>
      </w:r>
      <w:r w:rsidR="00325FB4" w:rsidRPr="00325FB4">
        <w:rPr>
          <w:rFonts w:asciiTheme="minorHAnsi" w:hAnsiTheme="minorHAnsi" w:cstheme="minorHAnsi"/>
          <w:b/>
          <w:bCs/>
        </w:rPr>
        <w:br w:type="page"/>
      </w:r>
    </w:p>
    <w:p w14:paraId="5D1E0B90" w14:textId="77777777" w:rsidR="00911331" w:rsidRPr="008876F1" w:rsidRDefault="00911331" w:rsidP="00911331">
      <w:pPr>
        <w:pStyle w:val="Heading2"/>
        <w:rPr>
          <w:rFonts w:ascii="Times New Roman" w:eastAsia="Times New Roman" w:hAnsi="Times New Roman" w:cs="Times New Roman"/>
          <w:color w:val="auto"/>
          <w:sz w:val="24"/>
          <w:szCs w:val="24"/>
        </w:rPr>
      </w:pPr>
      <w:bookmarkStart w:id="0" w:name="_Hlk68256403"/>
      <w:r w:rsidRPr="008876F1">
        <w:rPr>
          <w:rFonts w:ascii="Times New Roman" w:eastAsia="Times New Roman" w:hAnsi="Times New Roman" w:cs="Times New Roman"/>
          <w:color w:val="auto"/>
          <w:sz w:val="24"/>
          <w:szCs w:val="24"/>
        </w:rPr>
        <w:lastRenderedPageBreak/>
        <w:t xml:space="preserve">Copyright 2021 </w:t>
      </w:r>
      <w:r>
        <w:rPr>
          <w:rFonts w:ascii="Times New Roman" w:eastAsia="Times New Roman" w:hAnsi="Times New Roman" w:cs="Times New Roman"/>
          <w:color w:val="auto"/>
          <w:sz w:val="24"/>
          <w:szCs w:val="24"/>
        </w:rPr>
        <w:t>Dan Shoemaker</w:t>
      </w:r>
      <w:r w:rsidRPr="008876F1">
        <w:rPr>
          <w:rFonts w:ascii="Times New Roman" w:eastAsia="Times New Roman" w:hAnsi="Times New Roman" w:cs="Times New Roman"/>
          <w:color w:val="auto"/>
          <w:sz w:val="24"/>
          <w:szCs w:val="24"/>
        </w:rPr>
        <w:t xml:space="preserve">. All Rights Reserved. </w:t>
      </w:r>
    </w:p>
    <w:p w14:paraId="64AE6FD9" w14:textId="77777777" w:rsidR="00911331" w:rsidRPr="008876F1" w:rsidRDefault="00911331" w:rsidP="00911331">
      <w:pPr>
        <w:pStyle w:val="Heading2"/>
        <w:rPr>
          <w:rFonts w:ascii="Times New Roman" w:eastAsia="Times New Roman" w:hAnsi="Times New Roman" w:cs="Times New Roman"/>
          <w:color w:val="auto"/>
          <w:sz w:val="24"/>
          <w:szCs w:val="24"/>
        </w:rPr>
      </w:pPr>
    </w:p>
    <w:p w14:paraId="1305BE30" w14:textId="77777777" w:rsidR="00911331" w:rsidRPr="008876F1" w:rsidRDefault="00911331" w:rsidP="00911331">
      <w:pPr>
        <w:pStyle w:val="Heading2"/>
        <w:rPr>
          <w:rFonts w:ascii="Times New Roman" w:eastAsia="Times New Roman" w:hAnsi="Times New Roman" w:cs="Times New Roman"/>
          <w:color w:val="auto"/>
          <w:sz w:val="24"/>
          <w:szCs w:val="24"/>
        </w:rPr>
      </w:pPr>
      <w:r w:rsidRPr="008876F1">
        <w:rPr>
          <w:rFonts w:ascii="Times New Roman" w:eastAsia="Times New Roman" w:hAnsi="Times New Roman" w:cs="Times New Roman"/>
          <w:color w:val="auto"/>
          <w:sz w:val="24"/>
          <w:szCs w:val="24"/>
        </w:rPr>
        <w:t xml:space="preserve">NO WARRANTY </w:t>
      </w:r>
    </w:p>
    <w:p w14:paraId="5E5DEF8F" w14:textId="77777777" w:rsidR="00911331" w:rsidRPr="008876F1" w:rsidRDefault="00911331" w:rsidP="00911331">
      <w:pPr>
        <w:pStyle w:val="Heading2"/>
        <w:rPr>
          <w:rFonts w:ascii="Times New Roman" w:eastAsia="Times New Roman" w:hAnsi="Times New Roman" w:cs="Times New Roman"/>
          <w:color w:val="auto"/>
          <w:sz w:val="24"/>
          <w:szCs w:val="24"/>
        </w:rPr>
      </w:pPr>
      <w:r w:rsidRPr="008876F1">
        <w:rPr>
          <w:rFonts w:ascii="Times New Roman" w:eastAsia="Times New Roman" w:hAnsi="Times New Roman" w:cs="Times New Roman"/>
          <w:color w:val="auto"/>
          <w:sz w:val="24"/>
          <w:szCs w:val="24"/>
        </w:rPr>
        <w:t xml:space="preserve">THIS MATERIAL IS FURNISHED ON AN "AS-IS" BASIS. THE AUTHOR MAKES NO WARRANTIES OF ANY KIND, EITHER EXPRESSED OR IMPLIED, AS TO ANY MATTER INCLUDING, BUT NOT LIMITED TO, WARRANTY OF FITNESS FOR PURPOSE OR MERCHANTABILITY, EXCLUSIVITY, OR RESULTS OBTAINED FROM USE OF THE MATERIAL. THE AUTHOR DOES NOT MAKE ANY WARRANTY OF ANY KIND WITH RESPECT TO FREEDOM FROM PATENT, TRADEMARK, OR COPYRIGHT INFRINGEMENT. </w:t>
      </w:r>
    </w:p>
    <w:p w14:paraId="54BC1CA9" w14:textId="77777777" w:rsidR="00911331" w:rsidRPr="008876F1" w:rsidRDefault="00911331" w:rsidP="00911331">
      <w:pPr>
        <w:pStyle w:val="Heading2"/>
        <w:rPr>
          <w:rFonts w:ascii="Times New Roman" w:eastAsia="Times New Roman" w:hAnsi="Times New Roman" w:cs="Times New Roman"/>
          <w:color w:val="auto"/>
          <w:sz w:val="24"/>
          <w:szCs w:val="24"/>
        </w:rPr>
      </w:pPr>
    </w:p>
    <w:p w14:paraId="4FA465D2" w14:textId="77777777" w:rsidR="00911331" w:rsidRPr="008876F1" w:rsidRDefault="00911331" w:rsidP="00911331">
      <w:pPr>
        <w:pStyle w:val="Heading2"/>
        <w:rPr>
          <w:rFonts w:ascii="Times New Roman" w:eastAsia="Times New Roman" w:hAnsi="Times New Roman" w:cs="Times New Roman"/>
          <w:color w:val="auto"/>
          <w:sz w:val="24"/>
          <w:szCs w:val="24"/>
        </w:rPr>
      </w:pPr>
      <w:r w:rsidRPr="008876F1">
        <w:rPr>
          <w:rFonts w:ascii="Times New Roman" w:eastAsia="Times New Roman" w:hAnsi="Times New Roman" w:cs="Times New Roman"/>
          <w:color w:val="auto"/>
          <w:sz w:val="24"/>
          <w:szCs w:val="24"/>
        </w:rPr>
        <w:t xml:space="preserve">Use of any trademarks in this report is not intended in any way to infringe on the rights of the trademark holder. </w:t>
      </w:r>
    </w:p>
    <w:p w14:paraId="70E30EBD" w14:textId="77777777" w:rsidR="00911331" w:rsidRPr="008876F1" w:rsidRDefault="00911331" w:rsidP="00911331">
      <w:pPr>
        <w:pStyle w:val="Heading2"/>
        <w:rPr>
          <w:rFonts w:ascii="Times New Roman" w:eastAsia="Times New Roman" w:hAnsi="Times New Roman" w:cs="Times New Roman"/>
          <w:color w:val="auto"/>
          <w:sz w:val="24"/>
          <w:szCs w:val="24"/>
        </w:rPr>
      </w:pPr>
    </w:p>
    <w:p w14:paraId="51B9669D" w14:textId="77777777" w:rsidR="00911331" w:rsidRPr="008876F1" w:rsidRDefault="00911331" w:rsidP="00911331">
      <w:pPr>
        <w:pStyle w:val="Heading2"/>
        <w:rPr>
          <w:rFonts w:ascii="Times New Roman" w:eastAsia="Times New Roman" w:hAnsi="Times New Roman" w:cs="Times New Roman"/>
          <w:color w:val="auto"/>
          <w:sz w:val="24"/>
          <w:szCs w:val="24"/>
        </w:rPr>
      </w:pPr>
      <w:r w:rsidRPr="008876F1">
        <w:rPr>
          <w:rFonts w:ascii="Times New Roman" w:eastAsia="Times New Roman" w:hAnsi="Times New Roman" w:cs="Times New Roman"/>
          <w:color w:val="auto"/>
          <w:sz w:val="24"/>
          <w:szCs w:val="24"/>
        </w:rPr>
        <w:t>Internal use. Permission to reproduce this document and to prepare derivative works from this document for internal use is granted, provided the copyright and “No Warranty” statements are included with all reproductions and derivative works.</w:t>
      </w:r>
    </w:p>
    <w:p w14:paraId="50A27BE9" w14:textId="77777777" w:rsidR="00911331" w:rsidRPr="008876F1" w:rsidRDefault="00911331" w:rsidP="00911331">
      <w:pPr>
        <w:pStyle w:val="Heading2"/>
        <w:rPr>
          <w:rFonts w:ascii="Times New Roman" w:eastAsia="Times New Roman" w:hAnsi="Times New Roman" w:cs="Times New Roman"/>
          <w:color w:val="auto"/>
          <w:sz w:val="24"/>
          <w:szCs w:val="24"/>
        </w:rPr>
      </w:pPr>
    </w:p>
    <w:p w14:paraId="0478828C" w14:textId="77777777" w:rsidR="00911331" w:rsidRPr="00325FB4" w:rsidRDefault="00911331" w:rsidP="00911331">
      <w:pPr>
        <w:pStyle w:val="Heading2"/>
        <w:spacing w:before="0"/>
        <w:rPr>
          <w:rFonts w:eastAsia="Arial"/>
          <w:b/>
          <w:sz w:val="32"/>
          <w:szCs w:val="32"/>
        </w:rPr>
      </w:pPr>
      <w:r w:rsidRPr="008876F1">
        <w:rPr>
          <w:rFonts w:ascii="Times New Roman" w:eastAsia="Times New Roman" w:hAnsi="Times New Roman" w:cs="Times New Roman"/>
          <w:color w:val="auto"/>
          <w:sz w:val="24"/>
          <w:szCs w:val="24"/>
        </w:rP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 the author.</w:t>
      </w:r>
    </w:p>
    <w:p w14:paraId="5531173C" w14:textId="77777777" w:rsidR="00A9595C" w:rsidRPr="00325FB4" w:rsidRDefault="00A9595C" w:rsidP="00A9595C">
      <w:pPr>
        <w:pStyle w:val="Heading2"/>
        <w:spacing w:before="0"/>
        <w:rPr>
          <w:rFonts w:eastAsia="Arial"/>
          <w:b/>
          <w:sz w:val="32"/>
          <w:szCs w:val="32"/>
        </w:rPr>
      </w:pPr>
    </w:p>
    <w:p w14:paraId="6165C197" w14:textId="77777777" w:rsidR="00001078" w:rsidRDefault="00001078">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bookmarkEnd w:id="0"/>
    <w:p w14:paraId="7E160527" w14:textId="77777777" w:rsidR="00911331" w:rsidRPr="00911331" w:rsidRDefault="00911331" w:rsidP="00911331">
      <w:pPr>
        <w:pStyle w:val="Heading3"/>
        <w:rPr>
          <w:b/>
          <w:bCs/>
          <w:color w:val="auto"/>
        </w:rPr>
      </w:pPr>
      <w:r w:rsidRPr="00911331">
        <w:rPr>
          <w:b/>
          <w:bCs/>
          <w:color w:val="auto"/>
        </w:rPr>
        <w:lastRenderedPageBreak/>
        <w:t>Secure Acquisition Case Study 2: Acquisition/SCRM Project Risk Analysis</w:t>
      </w:r>
    </w:p>
    <w:p w14:paraId="5018148C" w14:textId="77777777" w:rsidR="00911331" w:rsidRDefault="00911331" w:rsidP="00C51799">
      <w:pPr>
        <w:pStyle w:val="Heading2"/>
      </w:pPr>
    </w:p>
    <w:p w14:paraId="5356BE42" w14:textId="3646AAED" w:rsidR="00C51799" w:rsidRPr="00911331" w:rsidRDefault="00C51799" w:rsidP="00911331">
      <w:pPr>
        <w:pStyle w:val="Heading3"/>
        <w:rPr>
          <w:b/>
          <w:bCs/>
        </w:rPr>
      </w:pPr>
      <w:bookmarkStart w:id="1" w:name="_Hlk68256585"/>
      <w:r w:rsidRPr="00911331">
        <w:rPr>
          <w:b/>
          <w:bCs/>
        </w:rPr>
        <w:t>Background</w:t>
      </w:r>
    </w:p>
    <w:bookmarkEnd w:id="1"/>
    <w:p w14:paraId="0CF4FFDB" w14:textId="3FDA681C" w:rsidR="00BD3ED4" w:rsidRPr="00911331" w:rsidRDefault="00BD3ED4" w:rsidP="00CA7530">
      <w:pPr>
        <w:spacing w:after="240"/>
        <w:rPr>
          <w:sz w:val="24"/>
          <w:szCs w:val="24"/>
        </w:rPr>
      </w:pPr>
      <w:r w:rsidRPr="00911331">
        <w:rPr>
          <w:sz w:val="24"/>
          <w:szCs w:val="24"/>
        </w:rPr>
        <w:t xml:space="preserve">Systems are built out of components that are integrated from the lowest level of a supply chain up to a finished product.  This creates a serious weakness in that malicious code, or counterfeit parts can be inserted at the bottom of the process without scrutiny and then integrated up into the end-product, as was demonstrated by the recent SolarWinds hack. </w:t>
      </w:r>
    </w:p>
    <w:p w14:paraId="7169E756" w14:textId="13234AFE" w:rsidR="00CA7530" w:rsidRPr="00911331" w:rsidRDefault="00CA7530" w:rsidP="00CA7530">
      <w:pPr>
        <w:spacing w:after="240"/>
        <w:rPr>
          <w:sz w:val="24"/>
          <w:szCs w:val="24"/>
        </w:rPr>
      </w:pPr>
      <w:r w:rsidRPr="00911331">
        <w:rPr>
          <w:sz w:val="24"/>
          <w:szCs w:val="24"/>
        </w:rPr>
        <w:t xml:space="preserve">The possibility of such a thing occurring is so obvious that you would think that there have been practical efforts to address it. However, even though </w:t>
      </w:r>
      <w:proofErr w:type="gramStart"/>
      <w:r w:rsidRPr="00911331">
        <w:rPr>
          <w:sz w:val="24"/>
          <w:szCs w:val="24"/>
        </w:rPr>
        <w:t>we’ve</w:t>
      </w:r>
      <w:proofErr w:type="gramEnd"/>
      <w:r w:rsidRPr="00911331">
        <w:rPr>
          <w:sz w:val="24"/>
          <w:szCs w:val="24"/>
        </w:rPr>
        <w:t xml:space="preserve"> expended much time and effort to ensure robust, efficient and defect free code, we have done very little to ensure against compromises that could occur during the integration process. Thus, the aim of this </w:t>
      </w:r>
      <w:r w:rsidR="00BD603D" w:rsidRPr="00911331">
        <w:rPr>
          <w:sz w:val="24"/>
          <w:szCs w:val="24"/>
        </w:rPr>
        <w:t>project is to help the student understand the stages involved in establishing supply chain capability</w:t>
      </w:r>
      <w:r w:rsidR="0067728F" w:rsidRPr="00911331">
        <w:rPr>
          <w:sz w:val="24"/>
          <w:szCs w:val="24"/>
        </w:rPr>
        <w:t>,</w:t>
      </w:r>
      <w:r w:rsidRPr="00911331">
        <w:rPr>
          <w:sz w:val="24"/>
          <w:szCs w:val="24"/>
        </w:rPr>
        <w:t xml:space="preserve"> as well as present a </w:t>
      </w:r>
      <w:r w:rsidR="0067728F" w:rsidRPr="00911331">
        <w:rPr>
          <w:sz w:val="24"/>
          <w:szCs w:val="24"/>
        </w:rPr>
        <w:t>sample</w:t>
      </w:r>
      <w:r w:rsidRPr="00911331">
        <w:rPr>
          <w:sz w:val="24"/>
          <w:szCs w:val="24"/>
        </w:rPr>
        <w:t xml:space="preserve"> solution.  </w:t>
      </w:r>
    </w:p>
    <w:p w14:paraId="4A9DA336" w14:textId="278316A1" w:rsidR="006D461D" w:rsidRPr="00911331" w:rsidRDefault="00C51799" w:rsidP="00911331">
      <w:pPr>
        <w:pStyle w:val="Heading3"/>
        <w:rPr>
          <w:b/>
          <w:bCs/>
        </w:rPr>
      </w:pPr>
      <w:r w:rsidRPr="00911331">
        <w:rPr>
          <w:b/>
          <w:bCs/>
        </w:rPr>
        <w:t>Case Study Overview</w:t>
      </w:r>
    </w:p>
    <w:p w14:paraId="43E0FE76" w14:textId="23222F20" w:rsidR="00513C82" w:rsidRPr="00911331" w:rsidRDefault="00476DC4" w:rsidP="00911331">
      <w:pPr>
        <w:rPr>
          <w:sz w:val="24"/>
          <w:szCs w:val="24"/>
        </w:rPr>
      </w:pPr>
      <w:r w:rsidRPr="00911331">
        <w:rPr>
          <w:sz w:val="24"/>
          <w:szCs w:val="24"/>
        </w:rPr>
        <w:t>The student will utilize</w:t>
      </w:r>
      <w:r w:rsidR="00513C82" w:rsidRPr="00911331">
        <w:rPr>
          <w:sz w:val="24"/>
          <w:szCs w:val="24"/>
        </w:rPr>
        <w:t xml:space="preserve"> </w:t>
      </w:r>
      <w:r w:rsidR="003B4CB6" w:rsidRPr="00911331">
        <w:rPr>
          <w:sz w:val="24"/>
          <w:szCs w:val="24"/>
        </w:rPr>
        <w:t>NIST 800-161</w:t>
      </w:r>
      <w:r w:rsidR="00513C82" w:rsidRPr="00911331">
        <w:rPr>
          <w:sz w:val="24"/>
          <w:szCs w:val="24"/>
        </w:rPr>
        <w:t xml:space="preserve"> (provided)</w:t>
      </w:r>
      <w:r w:rsidRPr="00911331">
        <w:rPr>
          <w:sz w:val="24"/>
          <w:szCs w:val="24"/>
        </w:rPr>
        <w:t xml:space="preserve"> to i</w:t>
      </w:r>
      <w:r w:rsidR="00513C82" w:rsidRPr="00911331">
        <w:rPr>
          <w:sz w:val="24"/>
          <w:szCs w:val="24"/>
        </w:rPr>
        <w:t xml:space="preserve">dentify and assess risks against the </w:t>
      </w:r>
      <w:r w:rsidR="000372FC" w:rsidRPr="00911331">
        <w:rPr>
          <w:sz w:val="24"/>
          <w:szCs w:val="24"/>
        </w:rPr>
        <w:t xml:space="preserve">standard </w:t>
      </w:r>
      <w:r w:rsidR="00513C82" w:rsidRPr="00911331">
        <w:rPr>
          <w:sz w:val="24"/>
          <w:szCs w:val="24"/>
        </w:rPr>
        <w:t xml:space="preserve">Base Practices </w:t>
      </w:r>
      <w:r w:rsidR="000372FC" w:rsidRPr="00911331">
        <w:rPr>
          <w:sz w:val="24"/>
          <w:szCs w:val="24"/>
        </w:rPr>
        <w:t>SCRM</w:t>
      </w:r>
      <w:r w:rsidR="00513C82" w:rsidRPr="00911331">
        <w:rPr>
          <w:sz w:val="24"/>
          <w:szCs w:val="24"/>
        </w:rPr>
        <w:t xml:space="preserve"> </w:t>
      </w:r>
      <w:proofErr w:type="gramStart"/>
      <w:r w:rsidRPr="00911331">
        <w:rPr>
          <w:sz w:val="24"/>
          <w:szCs w:val="24"/>
        </w:rPr>
        <w:t xml:space="preserve">in order </w:t>
      </w:r>
      <w:r w:rsidR="00513C82" w:rsidRPr="00911331">
        <w:rPr>
          <w:sz w:val="24"/>
          <w:szCs w:val="24"/>
        </w:rPr>
        <w:t>to</w:t>
      </w:r>
      <w:proofErr w:type="gramEnd"/>
      <w:r w:rsidR="00513C82" w:rsidRPr="00911331">
        <w:rPr>
          <w:sz w:val="24"/>
          <w:szCs w:val="24"/>
        </w:rPr>
        <w:t xml:space="preserve"> obtain an overall risk rating for </w:t>
      </w:r>
      <w:r w:rsidR="004D514E" w:rsidRPr="00911331">
        <w:rPr>
          <w:sz w:val="24"/>
          <w:szCs w:val="24"/>
        </w:rPr>
        <w:t xml:space="preserve">each </w:t>
      </w:r>
      <w:r w:rsidR="002850C9" w:rsidRPr="00911331">
        <w:rPr>
          <w:sz w:val="24"/>
          <w:szCs w:val="24"/>
        </w:rPr>
        <w:t xml:space="preserve">of the </w:t>
      </w:r>
      <w:r w:rsidR="004D514E" w:rsidRPr="00911331">
        <w:rPr>
          <w:sz w:val="24"/>
          <w:szCs w:val="24"/>
        </w:rPr>
        <w:t>function</w:t>
      </w:r>
      <w:r w:rsidR="002850C9" w:rsidRPr="00911331">
        <w:rPr>
          <w:sz w:val="24"/>
          <w:szCs w:val="24"/>
        </w:rPr>
        <w:t>s</w:t>
      </w:r>
      <w:r w:rsidR="004D514E" w:rsidRPr="00911331">
        <w:rPr>
          <w:sz w:val="24"/>
          <w:szCs w:val="24"/>
        </w:rPr>
        <w:t xml:space="preserve"> identified in </w:t>
      </w:r>
      <w:r w:rsidR="002850C9" w:rsidRPr="00911331">
        <w:rPr>
          <w:sz w:val="24"/>
          <w:szCs w:val="24"/>
        </w:rPr>
        <w:t>case one</w:t>
      </w:r>
      <w:r w:rsidR="00513C82" w:rsidRPr="00911331">
        <w:rPr>
          <w:sz w:val="24"/>
          <w:szCs w:val="24"/>
        </w:rPr>
        <w:t xml:space="preserve">. The risk rating can be used to prioritize the risks. </w:t>
      </w:r>
    </w:p>
    <w:p w14:paraId="298EC63E" w14:textId="77777777" w:rsidR="00513C82" w:rsidRPr="003B4CB6" w:rsidRDefault="00513C82" w:rsidP="00513C82">
      <w:pPr>
        <w:spacing w:after="20" w:line="259" w:lineRule="auto"/>
        <w:ind w:left="1"/>
        <w:rPr>
          <w:rFonts w:asciiTheme="minorHAnsi" w:hAnsiTheme="minorHAnsi" w:cstheme="minorHAnsi"/>
        </w:rPr>
      </w:pPr>
      <w:r w:rsidRPr="003B4CB6">
        <w:rPr>
          <w:rFonts w:asciiTheme="minorHAnsi" w:hAnsiTheme="minorHAnsi" w:cstheme="minorHAnsi"/>
          <w:sz w:val="24"/>
        </w:rPr>
        <w:t xml:space="preserve"> </w:t>
      </w:r>
    </w:p>
    <w:p w14:paraId="0F5A59B1" w14:textId="34E28A3E" w:rsidR="004B5571" w:rsidRPr="00911331" w:rsidRDefault="00C51799" w:rsidP="00911331">
      <w:pPr>
        <w:pStyle w:val="Heading3"/>
        <w:rPr>
          <w:rFonts w:eastAsia="Arial"/>
          <w:b/>
          <w:bCs/>
        </w:rPr>
      </w:pPr>
      <w:r w:rsidRPr="00911331">
        <w:rPr>
          <w:rFonts w:eastAsia="Arial"/>
          <w:b/>
          <w:bCs/>
        </w:rPr>
        <w:t>Student Instructions</w:t>
      </w:r>
    </w:p>
    <w:p w14:paraId="3561EBC2" w14:textId="17BC1A41" w:rsidR="008D5281" w:rsidRPr="00911331" w:rsidRDefault="002850C9" w:rsidP="00911331">
      <w:pPr>
        <w:rPr>
          <w:sz w:val="24"/>
          <w:szCs w:val="24"/>
        </w:rPr>
      </w:pPr>
      <w:r w:rsidRPr="00911331">
        <w:rPr>
          <w:sz w:val="24"/>
          <w:szCs w:val="24"/>
        </w:rPr>
        <w:t>There are a lot of requisite best practices. Therefore, it</w:t>
      </w:r>
      <w:r w:rsidR="003D263E" w:rsidRPr="00911331">
        <w:rPr>
          <w:sz w:val="24"/>
          <w:szCs w:val="24"/>
        </w:rPr>
        <w:t xml:space="preserve"> is </w:t>
      </w:r>
      <w:r w:rsidRPr="00911331">
        <w:rPr>
          <w:sz w:val="24"/>
          <w:szCs w:val="24"/>
        </w:rPr>
        <w:t xml:space="preserve">necessary </w:t>
      </w:r>
      <w:r w:rsidR="003D263E" w:rsidRPr="00911331">
        <w:rPr>
          <w:sz w:val="24"/>
          <w:szCs w:val="24"/>
        </w:rPr>
        <w:t xml:space="preserve">to </w:t>
      </w:r>
      <w:r w:rsidRPr="00911331">
        <w:rPr>
          <w:sz w:val="24"/>
          <w:szCs w:val="24"/>
        </w:rPr>
        <w:t>employ</w:t>
      </w:r>
      <w:r w:rsidR="003D263E" w:rsidRPr="00911331">
        <w:rPr>
          <w:sz w:val="24"/>
          <w:szCs w:val="24"/>
        </w:rPr>
        <w:t xml:space="preserve"> a generic checklist as a </w:t>
      </w:r>
      <w:r w:rsidRPr="00911331">
        <w:rPr>
          <w:sz w:val="24"/>
          <w:szCs w:val="24"/>
        </w:rPr>
        <w:t>means of identifying</w:t>
      </w:r>
      <w:r w:rsidR="003D263E" w:rsidRPr="00911331">
        <w:rPr>
          <w:sz w:val="24"/>
          <w:szCs w:val="24"/>
        </w:rPr>
        <w:t xml:space="preserve"> what risks may affect components, or participants. </w:t>
      </w:r>
      <w:r w:rsidR="00FC0F39" w:rsidRPr="00911331">
        <w:rPr>
          <w:sz w:val="24"/>
          <w:szCs w:val="24"/>
        </w:rPr>
        <w:t>Hence</w:t>
      </w:r>
      <w:r w:rsidR="003D263E" w:rsidRPr="00911331">
        <w:rPr>
          <w:sz w:val="24"/>
          <w:szCs w:val="24"/>
        </w:rPr>
        <w:t xml:space="preserve"> u</w:t>
      </w:r>
      <w:r w:rsidR="00BD3ED4" w:rsidRPr="00911331">
        <w:rPr>
          <w:sz w:val="24"/>
          <w:szCs w:val="24"/>
        </w:rPr>
        <w:t xml:space="preserve">tilize the forms taken from NIST </w:t>
      </w:r>
      <w:r w:rsidR="00397A02" w:rsidRPr="00911331">
        <w:rPr>
          <w:sz w:val="24"/>
          <w:szCs w:val="24"/>
        </w:rPr>
        <w:t>800-161</w:t>
      </w:r>
      <w:r w:rsidR="00BD3ED4" w:rsidRPr="00911331">
        <w:rPr>
          <w:sz w:val="24"/>
          <w:szCs w:val="24"/>
        </w:rPr>
        <w:t xml:space="preserve"> (provided</w:t>
      </w:r>
      <w:r w:rsidR="0016128A" w:rsidRPr="00911331">
        <w:rPr>
          <w:sz w:val="24"/>
          <w:szCs w:val="24"/>
        </w:rPr>
        <w:t>)</w:t>
      </w:r>
      <w:r w:rsidR="00BD3ED4" w:rsidRPr="00911331">
        <w:rPr>
          <w:sz w:val="24"/>
          <w:szCs w:val="24"/>
        </w:rPr>
        <w:t xml:space="preserve"> to obtain an overall risk rating for </w:t>
      </w:r>
      <w:r w:rsidR="0016128A" w:rsidRPr="00911331">
        <w:rPr>
          <w:sz w:val="24"/>
          <w:szCs w:val="24"/>
        </w:rPr>
        <w:t>th</w:t>
      </w:r>
      <w:r w:rsidR="00FC0F39" w:rsidRPr="00911331">
        <w:rPr>
          <w:sz w:val="24"/>
          <w:szCs w:val="24"/>
        </w:rPr>
        <w:t>e</w:t>
      </w:r>
      <w:r w:rsidR="0016128A" w:rsidRPr="00911331">
        <w:rPr>
          <w:sz w:val="24"/>
          <w:szCs w:val="24"/>
        </w:rPr>
        <w:t xml:space="preserve"> </w:t>
      </w:r>
      <w:r w:rsidR="00FC0F39" w:rsidRPr="00911331">
        <w:rPr>
          <w:sz w:val="24"/>
          <w:szCs w:val="24"/>
        </w:rPr>
        <w:t>organization under analysis</w:t>
      </w:r>
      <w:r w:rsidR="00BD3ED4" w:rsidRPr="00911331">
        <w:rPr>
          <w:sz w:val="24"/>
          <w:szCs w:val="24"/>
        </w:rPr>
        <w:t>.</w:t>
      </w:r>
      <w:r w:rsidR="00707C17" w:rsidRPr="00911331">
        <w:rPr>
          <w:sz w:val="24"/>
          <w:szCs w:val="24"/>
        </w:rPr>
        <w:t xml:space="preserve"> </w:t>
      </w:r>
      <w:proofErr w:type="gramStart"/>
      <w:r w:rsidR="008D5281" w:rsidRPr="00911331">
        <w:rPr>
          <w:sz w:val="24"/>
          <w:szCs w:val="24"/>
        </w:rPr>
        <w:t>In order to</w:t>
      </w:r>
      <w:proofErr w:type="gramEnd"/>
      <w:r w:rsidR="008D5281" w:rsidRPr="00911331">
        <w:rPr>
          <w:sz w:val="24"/>
          <w:szCs w:val="24"/>
        </w:rPr>
        <w:t xml:space="preserve"> prioritize findings by criticality, we have developed the following standard for remediation timelines: Critical = 30 days</w:t>
      </w:r>
      <w:r w:rsidR="00605556" w:rsidRPr="00911331">
        <w:rPr>
          <w:sz w:val="24"/>
          <w:szCs w:val="24"/>
        </w:rPr>
        <w:t xml:space="preserve">, </w:t>
      </w:r>
      <w:r w:rsidR="008D5281" w:rsidRPr="00911331">
        <w:rPr>
          <w:sz w:val="24"/>
          <w:szCs w:val="24"/>
        </w:rPr>
        <w:t>High = 60 days</w:t>
      </w:r>
      <w:r w:rsidR="00605556" w:rsidRPr="00911331">
        <w:rPr>
          <w:sz w:val="24"/>
          <w:szCs w:val="24"/>
        </w:rPr>
        <w:t xml:space="preserve">, </w:t>
      </w:r>
      <w:r w:rsidR="008D5281" w:rsidRPr="00911331">
        <w:rPr>
          <w:sz w:val="24"/>
          <w:szCs w:val="24"/>
        </w:rPr>
        <w:t>Medium = 120 days</w:t>
      </w:r>
      <w:r w:rsidR="00605556" w:rsidRPr="00911331">
        <w:rPr>
          <w:sz w:val="24"/>
          <w:szCs w:val="24"/>
        </w:rPr>
        <w:t xml:space="preserve">, </w:t>
      </w:r>
      <w:r w:rsidR="008D5281" w:rsidRPr="00911331">
        <w:rPr>
          <w:sz w:val="24"/>
          <w:szCs w:val="24"/>
        </w:rPr>
        <w:t>Low = 356 days</w:t>
      </w:r>
    </w:p>
    <w:p w14:paraId="19BF51C0" w14:textId="5BAFFFC6" w:rsidR="00661FFC" w:rsidRDefault="00661FFC" w:rsidP="008D5281">
      <w:pPr>
        <w:spacing w:after="8" w:line="266" w:lineRule="auto"/>
        <w:ind w:left="-4" w:hanging="10"/>
        <w:rPr>
          <w:rFonts w:asciiTheme="minorHAnsi" w:hAnsiTheme="minorHAnsi" w:cstheme="minorHAnsi"/>
          <w:sz w:val="24"/>
        </w:rPr>
      </w:pPr>
    </w:p>
    <w:p w14:paraId="0996CCC1" w14:textId="4EAA77B0" w:rsidR="00A6150B" w:rsidRPr="00446704" w:rsidRDefault="00A6150B" w:rsidP="00E0649D">
      <w:pPr>
        <w:pStyle w:val="Heading3"/>
        <w:rPr>
          <w:rFonts w:asciiTheme="minorHAnsi" w:eastAsia="Arial" w:hAnsiTheme="minorHAnsi" w:cstheme="minorHAnsi"/>
          <w:b/>
          <w:bCs/>
        </w:rPr>
      </w:pPr>
      <w:r w:rsidRPr="00446704">
        <w:rPr>
          <w:rFonts w:asciiTheme="minorHAnsi" w:eastAsia="Arial" w:hAnsiTheme="minorHAnsi" w:cstheme="minorHAnsi"/>
          <w:b/>
          <w:bCs/>
        </w:rPr>
        <w:t>Instructor notes</w:t>
      </w:r>
    </w:p>
    <w:p w14:paraId="00C7DC05" w14:textId="03FF9CAD" w:rsidR="00A6150B" w:rsidRPr="00911331" w:rsidRDefault="00605556" w:rsidP="00911331">
      <w:pPr>
        <w:rPr>
          <w:rFonts w:eastAsia="Arial"/>
          <w:sz w:val="24"/>
          <w:szCs w:val="24"/>
        </w:rPr>
      </w:pPr>
      <w:r w:rsidRPr="00911331">
        <w:rPr>
          <w:rFonts w:eastAsia="Arial"/>
          <w:sz w:val="24"/>
          <w:szCs w:val="24"/>
        </w:rPr>
        <w:t>This is an individual</w:t>
      </w:r>
      <w:r w:rsidR="00A6150B" w:rsidRPr="00911331">
        <w:rPr>
          <w:rFonts w:eastAsia="Arial"/>
          <w:sz w:val="24"/>
          <w:szCs w:val="24"/>
        </w:rPr>
        <w:t xml:space="preserve"> assignment</w:t>
      </w:r>
      <w:r w:rsidRPr="00911331">
        <w:rPr>
          <w:rFonts w:eastAsia="Arial"/>
          <w:sz w:val="24"/>
          <w:szCs w:val="24"/>
        </w:rPr>
        <w:t xml:space="preserve"> done during a live-lab</w:t>
      </w:r>
      <w:r w:rsidR="008511FD" w:rsidRPr="00911331">
        <w:rPr>
          <w:rFonts w:eastAsia="Arial"/>
          <w:sz w:val="24"/>
          <w:szCs w:val="24"/>
        </w:rPr>
        <w:t xml:space="preserve"> session. The process steps are taken a step at a time as guided by the instructor. This is done in-class </w:t>
      </w:r>
      <w:r w:rsidR="00397A02" w:rsidRPr="00911331">
        <w:rPr>
          <w:rFonts w:eastAsia="Arial"/>
          <w:sz w:val="24"/>
          <w:szCs w:val="24"/>
        </w:rPr>
        <w:t>as a first of four lab projects done over the</w:t>
      </w:r>
      <w:r w:rsidR="00A6150B" w:rsidRPr="00911331">
        <w:rPr>
          <w:rFonts w:eastAsia="Arial"/>
          <w:sz w:val="24"/>
          <w:szCs w:val="24"/>
        </w:rPr>
        <w:t xml:space="preserve"> semester</w:t>
      </w:r>
      <w:r w:rsidR="00397A02" w:rsidRPr="00911331">
        <w:rPr>
          <w:rFonts w:eastAsia="Arial"/>
          <w:sz w:val="24"/>
          <w:szCs w:val="24"/>
        </w:rPr>
        <w:t xml:space="preserve"> to illustrate an explicit process for risk mitigation in supply chains using NIST 800-161</w:t>
      </w:r>
    </w:p>
    <w:p w14:paraId="2BB15624" w14:textId="77777777" w:rsidR="00001078" w:rsidRPr="00446704" w:rsidRDefault="00001078" w:rsidP="00A6150B">
      <w:pPr>
        <w:pStyle w:val="NoSpacing"/>
        <w:rPr>
          <w:rFonts w:asciiTheme="minorHAnsi" w:eastAsia="Arial" w:hAnsiTheme="minorHAnsi" w:cstheme="minorHAnsi"/>
          <w:sz w:val="24"/>
          <w:szCs w:val="24"/>
        </w:rPr>
      </w:pPr>
    </w:p>
    <w:p w14:paraId="18E5F640" w14:textId="480A6455" w:rsidR="00001078" w:rsidRDefault="00001078" w:rsidP="00550D22">
      <w:pPr>
        <w:pStyle w:val="Heading3"/>
        <w:rPr>
          <w:rFonts w:eastAsia="Arial"/>
          <w:b/>
          <w:bCs/>
        </w:rPr>
      </w:pPr>
      <w:r w:rsidRPr="00550D22">
        <w:rPr>
          <w:rFonts w:eastAsia="Arial"/>
          <w:b/>
          <w:bCs/>
        </w:rPr>
        <w:t>Example solution</w:t>
      </w:r>
    </w:p>
    <w:p w14:paraId="0926E769" w14:textId="5A033F5F" w:rsidR="00001078" w:rsidRPr="00911331" w:rsidRDefault="001838D9" w:rsidP="00911331">
      <w:pPr>
        <w:rPr>
          <w:rFonts w:eastAsia="Arial"/>
          <w:sz w:val="24"/>
          <w:szCs w:val="24"/>
        </w:rPr>
      </w:pPr>
      <w:r w:rsidRPr="00911331">
        <w:rPr>
          <w:rFonts w:eastAsia="Arial"/>
          <w:sz w:val="24"/>
          <w:szCs w:val="24"/>
        </w:rPr>
        <w:t>A checklist</w:t>
      </w:r>
      <w:r w:rsidR="007A2D49" w:rsidRPr="00911331">
        <w:rPr>
          <w:rFonts w:eastAsia="Arial"/>
          <w:sz w:val="24"/>
          <w:szCs w:val="24"/>
        </w:rPr>
        <w:t xml:space="preserve"> form is provided. The student works through the example case with the blank checklist and makes judgments about whether each function is adequately performed. A sample solution follows:</w:t>
      </w:r>
    </w:p>
    <w:p w14:paraId="19D81072" w14:textId="77777777" w:rsidR="00B9245E" w:rsidRPr="00CE44FC" w:rsidRDefault="00B9245E" w:rsidP="00B9245E">
      <w:pPr>
        <w:spacing w:after="8" w:line="266" w:lineRule="auto"/>
        <w:ind w:left="-4" w:hanging="10"/>
        <w:rPr>
          <w:b/>
          <w:bCs/>
          <w:sz w:val="24"/>
        </w:rPr>
      </w:pPr>
    </w:p>
    <w:tbl>
      <w:tblPr>
        <w:tblStyle w:val="PlainTable1"/>
        <w:tblW w:w="0" w:type="auto"/>
        <w:tblLook w:val="04A0" w:firstRow="1" w:lastRow="0" w:firstColumn="1" w:lastColumn="0" w:noHBand="0" w:noVBand="1"/>
      </w:tblPr>
      <w:tblGrid>
        <w:gridCol w:w="2788"/>
        <w:gridCol w:w="2331"/>
        <w:gridCol w:w="990"/>
        <w:gridCol w:w="1983"/>
        <w:gridCol w:w="1258"/>
      </w:tblGrid>
      <w:tr w:rsidR="00B9245E" w:rsidRPr="00B9245E" w14:paraId="76F600C7" w14:textId="77777777" w:rsidTr="007879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0" w:type="dxa"/>
          </w:tcPr>
          <w:p w14:paraId="10FBB06C" w14:textId="77777777" w:rsidR="00B9245E" w:rsidRPr="00B9245E" w:rsidRDefault="00B9245E" w:rsidP="00283928">
            <w:pPr>
              <w:spacing w:after="8" w:line="266" w:lineRule="auto"/>
              <w:rPr>
                <w:rFonts w:asciiTheme="minorHAnsi" w:hAnsiTheme="minorHAnsi" w:cstheme="minorHAnsi"/>
                <w:b w:val="0"/>
                <w:bCs w:val="0"/>
                <w:sz w:val="22"/>
                <w:szCs w:val="22"/>
              </w:rPr>
            </w:pPr>
            <w:r w:rsidRPr="00B9245E">
              <w:rPr>
                <w:rFonts w:asciiTheme="minorHAnsi" w:hAnsiTheme="minorHAnsi" w:cstheme="minorHAnsi"/>
                <w:b w:val="0"/>
                <w:bCs w:val="0"/>
                <w:sz w:val="22"/>
                <w:szCs w:val="22"/>
              </w:rPr>
              <w:t>Gap Description</w:t>
            </w:r>
          </w:p>
        </w:tc>
        <w:tc>
          <w:tcPr>
            <w:tcW w:w="2332" w:type="dxa"/>
          </w:tcPr>
          <w:p w14:paraId="22ABCBE5" w14:textId="77777777" w:rsidR="00B9245E" w:rsidRPr="00B9245E" w:rsidRDefault="00B9245E" w:rsidP="00283928">
            <w:pPr>
              <w:spacing w:after="8" w:line="26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2"/>
                <w:szCs w:val="22"/>
              </w:rPr>
            </w:pPr>
            <w:r w:rsidRPr="00B9245E">
              <w:rPr>
                <w:rFonts w:asciiTheme="minorHAnsi" w:hAnsiTheme="minorHAnsi" w:cstheme="minorHAnsi"/>
                <w:b w:val="0"/>
                <w:bCs w:val="0"/>
                <w:sz w:val="22"/>
                <w:szCs w:val="22"/>
              </w:rPr>
              <w:t>Additional Comments</w:t>
            </w:r>
          </w:p>
        </w:tc>
        <w:tc>
          <w:tcPr>
            <w:tcW w:w="990" w:type="dxa"/>
          </w:tcPr>
          <w:p w14:paraId="33B9CD8F" w14:textId="77777777" w:rsidR="00B9245E" w:rsidRPr="00B9245E" w:rsidRDefault="00B9245E" w:rsidP="00283928">
            <w:pPr>
              <w:spacing w:after="8" w:line="26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2"/>
                <w:szCs w:val="22"/>
              </w:rPr>
            </w:pPr>
            <w:r w:rsidRPr="00B9245E">
              <w:rPr>
                <w:rFonts w:asciiTheme="minorHAnsi" w:hAnsiTheme="minorHAnsi" w:cstheme="minorHAnsi"/>
                <w:b w:val="0"/>
                <w:bCs w:val="0"/>
                <w:sz w:val="22"/>
                <w:szCs w:val="22"/>
              </w:rPr>
              <w:t>Priority</w:t>
            </w:r>
          </w:p>
        </w:tc>
        <w:tc>
          <w:tcPr>
            <w:tcW w:w="1984" w:type="dxa"/>
          </w:tcPr>
          <w:p w14:paraId="7A0FB7B8" w14:textId="77777777" w:rsidR="00B9245E" w:rsidRPr="00B9245E" w:rsidRDefault="00B9245E" w:rsidP="00283928">
            <w:pPr>
              <w:spacing w:after="8" w:line="26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2"/>
                <w:szCs w:val="22"/>
              </w:rPr>
            </w:pPr>
            <w:r w:rsidRPr="00B9245E">
              <w:rPr>
                <w:rFonts w:asciiTheme="minorHAnsi" w:hAnsiTheme="minorHAnsi" w:cstheme="minorHAnsi"/>
                <w:b w:val="0"/>
                <w:bCs w:val="0"/>
                <w:sz w:val="22"/>
                <w:szCs w:val="22"/>
              </w:rPr>
              <w:t>Action</w:t>
            </w:r>
          </w:p>
        </w:tc>
        <w:tc>
          <w:tcPr>
            <w:tcW w:w="1258" w:type="dxa"/>
          </w:tcPr>
          <w:p w14:paraId="480806B4" w14:textId="77777777" w:rsidR="00B9245E" w:rsidRPr="00B9245E" w:rsidRDefault="00B9245E" w:rsidP="00283928">
            <w:pPr>
              <w:spacing w:after="8" w:line="26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2"/>
                <w:szCs w:val="22"/>
              </w:rPr>
            </w:pPr>
            <w:r w:rsidRPr="00B9245E">
              <w:rPr>
                <w:rFonts w:asciiTheme="minorHAnsi" w:hAnsiTheme="minorHAnsi" w:cstheme="minorHAnsi"/>
                <w:b w:val="0"/>
                <w:bCs w:val="0"/>
                <w:sz w:val="22"/>
                <w:szCs w:val="22"/>
              </w:rPr>
              <w:t>Timeline</w:t>
            </w:r>
          </w:p>
        </w:tc>
      </w:tr>
      <w:tr w:rsidR="00B9245E" w:rsidRPr="00B9245E" w14:paraId="70039614" w14:textId="77777777" w:rsidTr="007879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0" w:type="dxa"/>
          </w:tcPr>
          <w:p w14:paraId="5688C6E1" w14:textId="54146D83" w:rsidR="00B9245E" w:rsidRPr="00B9245E" w:rsidRDefault="00B9245E" w:rsidP="00283928">
            <w:pPr>
              <w:spacing w:after="8" w:line="266" w:lineRule="auto"/>
              <w:rPr>
                <w:rFonts w:asciiTheme="minorHAnsi" w:hAnsiTheme="minorHAnsi" w:cstheme="minorHAnsi"/>
                <w:b w:val="0"/>
                <w:bCs w:val="0"/>
                <w:sz w:val="22"/>
                <w:szCs w:val="22"/>
              </w:rPr>
            </w:pPr>
            <w:r w:rsidRPr="00B9245E">
              <w:rPr>
                <w:rFonts w:asciiTheme="minorHAnsi" w:hAnsiTheme="minorHAnsi" w:cstheme="minorHAnsi"/>
                <w:b w:val="0"/>
                <w:bCs w:val="0"/>
                <w:sz w:val="22"/>
                <w:szCs w:val="22"/>
              </w:rPr>
              <w:t>Do you evaluate the use of multifactor authentication mechanisms</w:t>
            </w:r>
          </w:p>
        </w:tc>
        <w:tc>
          <w:tcPr>
            <w:tcW w:w="2332" w:type="dxa"/>
          </w:tcPr>
          <w:p w14:paraId="584297DA" w14:textId="77777777" w:rsidR="00B9245E" w:rsidRPr="00B9245E" w:rsidRDefault="00B9245E"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 xml:space="preserve">MFA configured for the mobile apps but not when </w:t>
            </w:r>
            <w:proofErr w:type="gramStart"/>
            <w:r w:rsidRPr="00B9245E">
              <w:rPr>
                <w:rFonts w:asciiTheme="minorHAnsi" w:hAnsiTheme="minorHAnsi" w:cstheme="minorHAnsi"/>
                <w:sz w:val="22"/>
                <w:szCs w:val="22"/>
              </w:rPr>
              <w:t>users</w:t>
            </w:r>
            <w:proofErr w:type="gramEnd"/>
            <w:r w:rsidRPr="00B9245E">
              <w:rPr>
                <w:rFonts w:asciiTheme="minorHAnsi" w:hAnsiTheme="minorHAnsi" w:cstheme="minorHAnsi"/>
                <w:sz w:val="22"/>
                <w:szCs w:val="22"/>
              </w:rPr>
              <w:t xml:space="preserve"> login via the web browser</w:t>
            </w:r>
          </w:p>
        </w:tc>
        <w:tc>
          <w:tcPr>
            <w:tcW w:w="990" w:type="dxa"/>
          </w:tcPr>
          <w:p w14:paraId="0DC8788A" w14:textId="77777777" w:rsidR="00B9245E" w:rsidRPr="00B9245E" w:rsidRDefault="00B9245E"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Critical</w:t>
            </w:r>
          </w:p>
        </w:tc>
        <w:tc>
          <w:tcPr>
            <w:tcW w:w="1984" w:type="dxa"/>
          </w:tcPr>
          <w:p w14:paraId="5EC500A6" w14:textId="77777777" w:rsidR="00B9245E" w:rsidRPr="00B9245E" w:rsidRDefault="00B9245E"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Implement MFA across the board, including for users who login using the web browser</w:t>
            </w:r>
          </w:p>
        </w:tc>
        <w:tc>
          <w:tcPr>
            <w:tcW w:w="1258" w:type="dxa"/>
          </w:tcPr>
          <w:p w14:paraId="46B6DB30" w14:textId="77777777" w:rsidR="00B9245E" w:rsidRPr="00B9245E" w:rsidRDefault="00B9245E"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September, 2020</w:t>
            </w:r>
          </w:p>
        </w:tc>
      </w:tr>
      <w:tr w:rsidR="00B9245E" w:rsidRPr="00B9245E" w14:paraId="4EB67059" w14:textId="77777777" w:rsidTr="007879AA">
        <w:tc>
          <w:tcPr>
            <w:cnfStyle w:val="001000000000" w:firstRow="0" w:lastRow="0" w:firstColumn="1" w:lastColumn="0" w:oddVBand="0" w:evenVBand="0" w:oddHBand="0" w:evenHBand="0" w:firstRowFirstColumn="0" w:firstRowLastColumn="0" w:lastRowFirstColumn="0" w:lastRowLastColumn="0"/>
            <w:tcW w:w="2790" w:type="dxa"/>
          </w:tcPr>
          <w:p w14:paraId="6A342274" w14:textId="77777777" w:rsidR="007879AA" w:rsidRDefault="007879AA" w:rsidP="00283928">
            <w:pPr>
              <w:spacing w:after="8" w:line="266" w:lineRule="auto"/>
              <w:rPr>
                <w:rFonts w:asciiTheme="minorHAnsi" w:hAnsiTheme="minorHAnsi" w:cstheme="minorHAnsi"/>
                <w:sz w:val="22"/>
                <w:szCs w:val="22"/>
              </w:rPr>
            </w:pPr>
          </w:p>
          <w:p w14:paraId="54A16EB5" w14:textId="1B5014A1" w:rsidR="00B9245E" w:rsidRPr="00B9245E" w:rsidRDefault="00B9245E" w:rsidP="00283928">
            <w:pPr>
              <w:spacing w:after="8" w:line="266" w:lineRule="auto"/>
              <w:rPr>
                <w:rFonts w:asciiTheme="minorHAnsi" w:hAnsiTheme="minorHAnsi" w:cstheme="minorHAnsi"/>
                <w:b w:val="0"/>
                <w:bCs w:val="0"/>
                <w:sz w:val="22"/>
                <w:szCs w:val="22"/>
              </w:rPr>
            </w:pPr>
            <w:r w:rsidRPr="00B9245E">
              <w:rPr>
                <w:rFonts w:asciiTheme="minorHAnsi" w:hAnsiTheme="minorHAnsi" w:cstheme="minorHAnsi"/>
                <w:b w:val="0"/>
                <w:bCs w:val="0"/>
                <w:sz w:val="22"/>
                <w:szCs w:val="22"/>
              </w:rPr>
              <w:t xml:space="preserve">Do you document any applicable information-sharing arrangements between customer and supplier in contract documents - including: </w:t>
            </w:r>
            <w:r w:rsidRPr="00B9245E">
              <w:rPr>
                <w:rFonts w:asciiTheme="minorHAnsi" w:hAnsiTheme="minorHAnsi" w:cstheme="minorHAnsi"/>
                <w:b w:val="0"/>
                <w:bCs w:val="0"/>
                <w:sz w:val="22"/>
                <w:szCs w:val="22"/>
              </w:rPr>
              <w:br/>
              <w:t xml:space="preserve">  a. Description of the information to be</w:t>
            </w:r>
            <w:r w:rsidR="007879AA">
              <w:rPr>
                <w:rFonts w:asciiTheme="minorHAnsi" w:hAnsiTheme="minorHAnsi" w:cstheme="minorHAnsi"/>
                <w:b w:val="0"/>
                <w:bCs w:val="0"/>
                <w:sz w:val="22"/>
                <w:szCs w:val="22"/>
              </w:rPr>
              <w:t xml:space="preserve"> </w:t>
            </w:r>
            <w:r w:rsidRPr="00B9245E">
              <w:rPr>
                <w:rFonts w:asciiTheme="minorHAnsi" w:hAnsiTheme="minorHAnsi" w:cstheme="minorHAnsi"/>
                <w:b w:val="0"/>
                <w:bCs w:val="0"/>
                <w:sz w:val="22"/>
                <w:szCs w:val="22"/>
              </w:rPr>
              <w:t>shared</w:t>
            </w:r>
            <w:r w:rsidR="007879AA">
              <w:rPr>
                <w:rFonts w:asciiTheme="minorHAnsi" w:hAnsiTheme="minorHAnsi" w:cstheme="minorHAnsi"/>
                <w:b w:val="0"/>
                <w:bCs w:val="0"/>
                <w:sz w:val="22"/>
                <w:szCs w:val="22"/>
              </w:rPr>
              <w:t>?</w:t>
            </w:r>
          </w:p>
          <w:p w14:paraId="5020EFE4" w14:textId="538B1FCE" w:rsidR="00B9245E" w:rsidRPr="00B9245E" w:rsidRDefault="00B9245E" w:rsidP="00283928">
            <w:pPr>
              <w:spacing w:after="8" w:line="266" w:lineRule="auto"/>
              <w:rPr>
                <w:rFonts w:asciiTheme="minorHAnsi" w:hAnsiTheme="minorHAnsi" w:cstheme="minorHAnsi"/>
                <w:b w:val="0"/>
                <w:bCs w:val="0"/>
                <w:sz w:val="22"/>
                <w:szCs w:val="22"/>
              </w:rPr>
            </w:pPr>
            <w:r w:rsidRPr="00B9245E">
              <w:rPr>
                <w:rFonts w:asciiTheme="minorHAnsi" w:hAnsiTheme="minorHAnsi" w:cstheme="minorHAnsi"/>
                <w:b w:val="0"/>
                <w:bCs w:val="0"/>
                <w:sz w:val="22"/>
                <w:szCs w:val="22"/>
              </w:rPr>
              <w:t xml:space="preserve">  b. List of Recipients</w:t>
            </w:r>
            <w:r w:rsidR="007879AA">
              <w:rPr>
                <w:rFonts w:asciiTheme="minorHAnsi" w:hAnsiTheme="minorHAnsi" w:cstheme="minorHAnsi"/>
                <w:b w:val="0"/>
                <w:bCs w:val="0"/>
                <w:sz w:val="22"/>
                <w:szCs w:val="22"/>
              </w:rPr>
              <w:t>?</w:t>
            </w:r>
          </w:p>
        </w:tc>
        <w:tc>
          <w:tcPr>
            <w:tcW w:w="2332" w:type="dxa"/>
          </w:tcPr>
          <w:p w14:paraId="3137A180" w14:textId="77777777" w:rsidR="007879AA" w:rsidRDefault="007879AA"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1A9FEB60" w14:textId="6D1A9E4B" w:rsidR="00B9245E" w:rsidRPr="00B9245E" w:rsidRDefault="00B9245E"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No NDA in place</w:t>
            </w:r>
          </w:p>
        </w:tc>
        <w:tc>
          <w:tcPr>
            <w:tcW w:w="990" w:type="dxa"/>
          </w:tcPr>
          <w:p w14:paraId="0CD8E7E2" w14:textId="77777777" w:rsidR="007879AA" w:rsidRDefault="007879AA"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04158AC9" w14:textId="3E3B87E3" w:rsidR="00B9245E" w:rsidRPr="00B9245E" w:rsidRDefault="00B9245E"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High</w:t>
            </w:r>
          </w:p>
        </w:tc>
        <w:tc>
          <w:tcPr>
            <w:tcW w:w="1984" w:type="dxa"/>
          </w:tcPr>
          <w:p w14:paraId="785A7531" w14:textId="77777777" w:rsidR="007879AA" w:rsidRDefault="007879AA"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4979EA61" w14:textId="78448976" w:rsidR="00B9245E" w:rsidRPr="00B9245E" w:rsidRDefault="00B9245E"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Implement a non-disclosure agreement as well as provision a system for information sharing</w:t>
            </w:r>
          </w:p>
        </w:tc>
        <w:tc>
          <w:tcPr>
            <w:tcW w:w="1258" w:type="dxa"/>
          </w:tcPr>
          <w:p w14:paraId="061EED30" w14:textId="77777777" w:rsidR="007879AA" w:rsidRDefault="007879AA"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65216F44" w14:textId="414EC66C" w:rsidR="00B9245E" w:rsidRPr="00B9245E" w:rsidRDefault="00B9245E"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November, 2020</w:t>
            </w:r>
          </w:p>
        </w:tc>
      </w:tr>
      <w:tr w:rsidR="00B9245E" w:rsidRPr="00B9245E" w14:paraId="12328197" w14:textId="77777777" w:rsidTr="007879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0" w:type="dxa"/>
          </w:tcPr>
          <w:p w14:paraId="5A6BF839" w14:textId="77777777" w:rsidR="007879AA" w:rsidRDefault="007879AA" w:rsidP="00283928">
            <w:pPr>
              <w:spacing w:after="8" w:line="266" w:lineRule="auto"/>
              <w:rPr>
                <w:rFonts w:asciiTheme="minorHAnsi" w:hAnsiTheme="minorHAnsi" w:cstheme="minorHAnsi"/>
                <w:sz w:val="22"/>
                <w:szCs w:val="22"/>
              </w:rPr>
            </w:pPr>
          </w:p>
          <w:p w14:paraId="4800EEB5" w14:textId="6B7DF6A5" w:rsidR="00B9245E" w:rsidRPr="00B9245E" w:rsidRDefault="00B9245E" w:rsidP="00283928">
            <w:pPr>
              <w:spacing w:after="8" w:line="266" w:lineRule="auto"/>
              <w:rPr>
                <w:rFonts w:asciiTheme="minorHAnsi" w:hAnsiTheme="minorHAnsi" w:cstheme="minorHAnsi"/>
                <w:b w:val="0"/>
                <w:bCs w:val="0"/>
                <w:sz w:val="22"/>
                <w:szCs w:val="22"/>
              </w:rPr>
            </w:pPr>
            <w:r w:rsidRPr="00B9245E">
              <w:rPr>
                <w:rFonts w:asciiTheme="minorHAnsi" w:hAnsiTheme="minorHAnsi" w:cstheme="minorHAnsi"/>
                <w:b w:val="0"/>
                <w:bCs w:val="0"/>
                <w:sz w:val="22"/>
                <w:szCs w:val="22"/>
              </w:rPr>
              <w:t>Do you have organizational policies and contractual requirements that require SCRM awareness and training for all relevant personnel in acquirer and integrator organizations</w:t>
            </w:r>
          </w:p>
        </w:tc>
        <w:tc>
          <w:tcPr>
            <w:tcW w:w="2332" w:type="dxa"/>
          </w:tcPr>
          <w:p w14:paraId="5DF87D5F" w14:textId="77777777" w:rsidR="007879AA" w:rsidRDefault="007879AA"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p w14:paraId="66D27091" w14:textId="7B1E8C47" w:rsidR="00B9245E" w:rsidRPr="00B9245E" w:rsidRDefault="00B9245E"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SCRM process are already in place but there is a lack of awareness.</w:t>
            </w:r>
          </w:p>
        </w:tc>
        <w:tc>
          <w:tcPr>
            <w:tcW w:w="990" w:type="dxa"/>
          </w:tcPr>
          <w:p w14:paraId="7B10D4EA" w14:textId="77777777" w:rsidR="007879AA" w:rsidRDefault="007879AA"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p w14:paraId="32354A36" w14:textId="20EE8FD6" w:rsidR="00B9245E" w:rsidRPr="00B9245E" w:rsidRDefault="00B9245E"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Medium</w:t>
            </w:r>
          </w:p>
        </w:tc>
        <w:tc>
          <w:tcPr>
            <w:tcW w:w="1984" w:type="dxa"/>
          </w:tcPr>
          <w:p w14:paraId="5316F50A" w14:textId="77777777" w:rsidR="007879AA" w:rsidRDefault="007879AA"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p w14:paraId="416CC3CC" w14:textId="4FC4FC7C" w:rsidR="00B9245E" w:rsidRPr="00B9245E" w:rsidRDefault="00B9245E"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Develop training in place to educate business stakeholders on how to leverage the existing SCRM process</w:t>
            </w:r>
          </w:p>
        </w:tc>
        <w:tc>
          <w:tcPr>
            <w:tcW w:w="1258" w:type="dxa"/>
          </w:tcPr>
          <w:p w14:paraId="0F01DCA3" w14:textId="77777777" w:rsidR="007879AA" w:rsidRDefault="007879AA"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p w14:paraId="04A03C35" w14:textId="45E6D83E" w:rsidR="00B9245E" w:rsidRPr="00B9245E" w:rsidRDefault="007879AA"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January, 2021</w:t>
            </w:r>
          </w:p>
        </w:tc>
      </w:tr>
      <w:tr w:rsidR="00B9245E" w:rsidRPr="00B9245E" w14:paraId="30BBDD43" w14:textId="77777777" w:rsidTr="007879AA">
        <w:tc>
          <w:tcPr>
            <w:cnfStyle w:val="001000000000" w:firstRow="0" w:lastRow="0" w:firstColumn="1" w:lastColumn="0" w:oddVBand="0" w:evenVBand="0" w:oddHBand="0" w:evenHBand="0" w:firstRowFirstColumn="0" w:firstRowLastColumn="0" w:lastRowFirstColumn="0" w:lastRowLastColumn="0"/>
            <w:tcW w:w="2790" w:type="dxa"/>
          </w:tcPr>
          <w:p w14:paraId="30866C5E" w14:textId="77777777" w:rsidR="007879AA" w:rsidRDefault="007879AA" w:rsidP="00283928">
            <w:pPr>
              <w:spacing w:after="8" w:line="266" w:lineRule="auto"/>
              <w:rPr>
                <w:rFonts w:asciiTheme="minorHAnsi" w:hAnsiTheme="minorHAnsi" w:cstheme="minorHAnsi"/>
                <w:sz w:val="22"/>
                <w:szCs w:val="22"/>
              </w:rPr>
            </w:pPr>
          </w:p>
          <w:p w14:paraId="36A24A82" w14:textId="5201457F" w:rsidR="00B9245E" w:rsidRPr="00B9245E" w:rsidRDefault="00B9245E" w:rsidP="007879AA">
            <w:pPr>
              <w:spacing w:after="8" w:line="266" w:lineRule="auto"/>
              <w:rPr>
                <w:rFonts w:asciiTheme="minorHAnsi" w:hAnsiTheme="minorHAnsi" w:cstheme="minorHAnsi"/>
                <w:b w:val="0"/>
                <w:bCs w:val="0"/>
                <w:sz w:val="22"/>
                <w:szCs w:val="22"/>
              </w:rPr>
            </w:pPr>
            <w:r w:rsidRPr="00B9245E">
              <w:rPr>
                <w:rFonts w:asciiTheme="minorHAnsi" w:hAnsiTheme="minorHAnsi" w:cstheme="minorHAnsi"/>
                <w:b w:val="0"/>
                <w:bCs w:val="0"/>
                <w:sz w:val="22"/>
                <w:szCs w:val="22"/>
              </w:rPr>
              <w:t xml:space="preserve">Do you </w:t>
            </w:r>
            <w:r w:rsidR="007879AA">
              <w:rPr>
                <w:rFonts w:asciiTheme="minorHAnsi" w:hAnsiTheme="minorHAnsi" w:cstheme="minorHAnsi"/>
                <w:b w:val="0"/>
                <w:bCs w:val="0"/>
                <w:sz w:val="22"/>
                <w:szCs w:val="22"/>
              </w:rPr>
              <w:t xml:space="preserve">do </w:t>
            </w:r>
            <w:r w:rsidRPr="00B9245E">
              <w:rPr>
                <w:rFonts w:asciiTheme="minorHAnsi" w:hAnsiTheme="minorHAnsi" w:cstheme="minorHAnsi"/>
                <w:b w:val="0"/>
                <w:bCs w:val="0"/>
                <w:sz w:val="22"/>
                <w:szCs w:val="22"/>
              </w:rPr>
              <w:t>comprehensive awareness and training that promotes the organization’s SCRM policy and procedures</w:t>
            </w:r>
          </w:p>
        </w:tc>
        <w:tc>
          <w:tcPr>
            <w:tcW w:w="2332" w:type="dxa"/>
          </w:tcPr>
          <w:p w14:paraId="5CCB10F4" w14:textId="77777777" w:rsidR="007879AA" w:rsidRDefault="007879AA"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0B11301A" w14:textId="2FF81F07" w:rsidR="00B9245E" w:rsidRPr="00B9245E" w:rsidRDefault="00B9245E"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SCRM process are already in place but there is a lack of awareness.</w:t>
            </w:r>
          </w:p>
        </w:tc>
        <w:tc>
          <w:tcPr>
            <w:tcW w:w="990" w:type="dxa"/>
          </w:tcPr>
          <w:p w14:paraId="0B588C77" w14:textId="77777777" w:rsidR="007879AA" w:rsidRDefault="007879AA"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2D6F04E0" w14:textId="7556506E" w:rsidR="00B9245E" w:rsidRPr="00B9245E" w:rsidRDefault="00B9245E"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Medium</w:t>
            </w:r>
          </w:p>
        </w:tc>
        <w:tc>
          <w:tcPr>
            <w:tcW w:w="1984" w:type="dxa"/>
          </w:tcPr>
          <w:p w14:paraId="3C482349" w14:textId="77777777" w:rsidR="007879AA" w:rsidRDefault="007879AA"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171ADE65" w14:textId="5F11787C" w:rsidR="00B9245E" w:rsidRPr="00B9245E" w:rsidRDefault="00B9245E"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Develop training in place to educate business stakeholders on how to leverage the existing SCRM process</w:t>
            </w:r>
          </w:p>
        </w:tc>
        <w:tc>
          <w:tcPr>
            <w:tcW w:w="1258" w:type="dxa"/>
          </w:tcPr>
          <w:p w14:paraId="2C1350AB" w14:textId="77777777" w:rsidR="007879AA" w:rsidRDefault="007879AA"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7CD27412" w14:textId="367E7320" w:rsidR="00B9245E" w:rsidRPr="00B9245E" w:rsidRDefault="00B9245E"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January, 2021</w:t>
            </w:r>
          </w:p>
        </w:tc>
      </w:tr>
      <w:tr w:rsidR="00B9245E" w:rsidRPr="00B9245E" w14:paraId="6A35340C" w14:textId="77777777" w:rsidTr="007879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0" w:type="dxa"/>
          </w:tcPr>
          <w:p w14:paraId="7F598FC6" w14:textId="77777777" w:rsidR="007879AA" w:rsidRDefault="007879AA" w:rsidP="00283928">
            <w:pPr>
              <w:spacing w:after="8" w:line="266" w:lineRule="auto"/>
              <w:rPr>
                <w:rFonts w:asciiTheme="minorHAnsi" w:hAnsiTheme="minorHAnsi" w:cstheme="minorHAnsi"/>
                <w:sz w:val="22"/>
                <w:szCs w:val="22"/>
              </w:rPr>
            </w:pPr>
          </w:p>
          <w:p w14:paraId="32241D98" w14:textId="15D3F48D" w:rsidR="00B9245E" w:rsidRPr="00B9245E" w:rsidRDefault="00B9245E" w:rsidP="00283928">
            <w:pPr>
              <w:spacing w:after="8" w:line="266" w:lineRule="auto"/>
              <w:rPr>
                <w:rFonts w:asciiTheme="minorHAnsi" w:hAnsiTheme="minorHAnsi" w:cstheme="minorHAnsi"/>
                <w:b w:val="0"/>
                <w:bCs w:val="0"/>
                <w:sz w:val="22"/>
                <w:szCs w:val="22"/>
              </w:rPr>
            </w:pPr>
            <w:r w:rsidRPr="00B9245E">
              <w:rPr>
                <w:rFonts w:asciiTheme="minorHAnsi" w:hAnsiTheme="minorHAnsi" w:cstheme="minorHAnsi"/>
                <w:b w:val="0"/>
                <w:bCs w:val="0"/>
                <w:sz w:val="22"/>
                <w:szCs w:val="22"/>
              </w:rPr>
              <w:t xml:space="preserve">Do you require SCRM awareness training for all acquirer and integrator personnel who are involved in requirements, acquisition, and procurement activities   </w:t>
            </w:r>
          </w:p>
        </w:tc>
        <w:tc>
          <w:tcPr>
            <w:tcW w:w="2332" w:type="dxa"/>
          </w:tcPr>
          <w:p w14:paraId="1A74DEE5" w14:textId="77777777" w:rsidR="007879AA" w:rsidRDefault="007879AA"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p w14:paraId="2E902A49" w14:textId="29ED94DE" w:rsidR="00B9245E" w:rsidRPr="00B9245E" w:rsidRDefault="00B9245E"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No required training available</w:t>
            </w:r>
          </w:p>
        </w:tc>
        <w:tc>
          <w:tcPr>
            <w:tcW w:w="990" w:type="dxa"/>
          </w:tcPr>
          <w:p w14:paraId="25DFCF45" w14:textId="77777777" w:rsidR="007879AA" w:rsidRDefault="007879AA"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p w14:paraId="6BB2F2BB" w14:textId="1097AD4B" w:rsidR="00B9245E" w:rsidRPr="00B9245E" w:rsidRDefault="00B9245E"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Medium</w:t>
            </w:r>
          </w:p>
        </w:tc>
        <w:tc>
          <w:tcPr>
            <w:tcW w:w="1984" w:type="dxa"/>
          </w:tcPr>
          <w:p w14:paraId="48D92009" w14:textId="77777777" w:rsidR="007879AA" w:rsidRDefault="007879AA"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p w14:paraId="4B16E353" w14:textId="47FAE85A" w:rsidR="00B9245E" w:rsidRPr="00B9245E" w:rsidRDefault="00B9245E"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Develop training to educate business stakeholders on how to leverage the existing SCRM process</w:t>
            </w:r>
          </w:p>
        </w:tc>
        <w:tc>
          <w:tcPr>
            <w:tcW w:w="1258" w:type="dxa"/>
          </w:tcPr>
          <w:p w14:paraId="6C4FAF09" w14:textId="77777777" w:rsidR="007879AA" w:rsidRDefault="007879AA"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p w14:paraId="481BB680" w14:textId="4CAEE338" w:rsidR="00B9245E" w:rsidRPr="00B9245E" w:rsidRDefault="00B9245E"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January, 2021</w:t>
            </w:r>
          </w:p>
        </w:tc>
      </w:tr>
      <w:tr w:rsidR="00B9245E" w:rsidRPr="00B9245E" w14:paraId="753892BF" w14:textId="77777777" w:rsidTr="007879AA">
        <w:tc>
          <w:tcPr>
            <w:cnfStyle w:val="001000000000" w:firstRow="0" w:lastRow="0" w:firstColumn="1" w:lastColumn="0" w:oddVBand="0" w:evenVBand="0" w:oddHBand="0" w:evenHBand="0" w:firstRowFirstColumn="0" w:firstRowLastColumn="0" w:lastRowFirstColumn="0" w:lastRowLastColumn="0"/>
            <w:tcW w:w="2790" w:type="dxa"/>
          </w:tcPr>
          <w:p w14:paraId="3493CCE4" w14:textId="77777777" w:rsidR="007879AA" w:rsidRDefault="007879AA" w:rsidP="00283928">
            <w:pPr>
              <w:spacing w:after="8" w:line="266" w:lineRule="auto"/>
              <w:rPr>
                <w:rFonts w:asciiTheme="minorHAnsi" w:hAnsiTheme="minorHAnsi" w:cstheme="minorHAnsi"/>
                <w:b w:val="0"/>
                <w:bCs w:val="0"/>
                <w:sz w:val="22"/>
                <w:szCs w:val="22"/>
              </w:rPr>
            </w:pPr>
          </w:p>
          <w:p w14:paraId="161AB19D" w14:textId="7FB096BD" w:rsidR="00B9245E" w:rsidRPr="00B9245E" w:rsidRDefault="001838D9" w:rsidP="00283928">
            <w:pPr>
              <w:spacing w:after="8" w:line="266" w:lineRule="auto"/>
              <w:rPr>
                <w:rFonts w:asciiTheme="minorHAnsi" w:hAnsiTheme="minorHAnsi" w:cstheme="minorHAnsi"/>
                <w:b w:val="0"/>
                <w:bCs w:val="0"/>
                <w:sz w:val="22"/>
                <w:szCs w:val="22"/>
              </w:rPr>
            </w:pPr>
            <w:r>
              <w:rPr>
                <w:rFonts w:asciiTheme="minorHAnsi" w:hAnsiTheme="minorHAnsi" w:cstheme="minorHAnsi"/>
                <w:sz w:val="22"/>
                <w:szCs w:val="22"/>
              </w:rPr>
              <w:t>Do you le</w:t>
            </w:r>
            <w:r w:rsidR="00B9245E" w:rsidRPr="00B9245E">
              <w:rPr>
                <w:rFonts w:asciiTheme="minorHAnsi" w:hAnsiTheme="minorHAnsi" w:cstheme="minorHAnsi"/>
                <w:b w:val="0"/>
                <w:bCs w:val="0"/>
                <w:sz w:val="22"/>
                <w:szCs w:val="22"/>
              </w:rPr>
              <w:t>verage industry best practice for security patches to include a list of what issues are “covered” in the patches (i.e., the nature of the issues, a severity rating such as CVSS, etc.)</w:t>
            </w:r>
          </w:p>
        </w:tc>
        <w:tc>
          <w:tcPr>
            <w:tcW w:w="2332" w:type="dxa"/>
          </w:tcPr>
          <w:p w14:paraId="106B86EF" w14:textId="77777777" w:rsidR="007879AA" w:rsidRDefault="007879AA"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191C942D" w14:textId="252826F7" w:rsidR="00B9245E" w:rsidRPr="00B9245E" w:rsidRDefault="00B9245E"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Patching in general is scheduled quarterly, which is a gap for newly discovered vulnerabilities</w:t>
            </w:r>
          </w:p>
        </w:tc>
        <w:tc>
          <w:tcPr>
            <w:tcW w:w="990" w:type="dxa"/>
          </w:tcPr>
          <w:p w14:paraId="6F76C7F8" w14:textId="77777777" w:rsidR="007879AA" w:rsidRDefault="007879AA"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786D4867" w14:textId="082430F4" w:rsidR="00B9245E" w:rsidRPr="00B9245E" w:rsidRDefault="00B9245E"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High</w:t>
            </w:r>
          </w:p>
        </w:tc>
        <w:tc>
          <w:tcPr>
            <w:tcW w:w="1984" w:type="dxa"/>
          </w:tcPr>
          <w:p w14:paraId="1C47BB88" w14:textId="77777777" w:rsidR="007879AA" w:rsidRDefault="007879AA"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137F9141" w14:textId="3AE2724D" w:rsidR="00B9245E" w:rsidRPr="00B9245E" w:rsidRDefault="00B9245E"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Implement a patch policy to enforce monthly patching</w:t>
            </w:r>
          </w:p>
        </w:tc>
        <w:tc>
          <w:tcPr>
            <w:tcW w:w="1258" w:type="dxa"/>
          </w:tcPr>
          <w:p w14:paraId="103AC7DE" w14:textId="77777777" w:rsidR="007879AA" w:rsidRDefault="007879AA"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1FF42B94" w14:textId="06F215CB" w:rsidR="00B9245E" w:rsidRPr="00B9245E" w:rsidRDefault="00B9245E" w:rsidP="00283928">
            <w:pPr>
              <w:spacing w:after="8" w:line="26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t>December, 2021</w:t>
            </w:r>
          </w:p>
        </w:tc>
      </w:tr>
      <w:tr w:rsidR="00B9245E" w:rsidRPr="00B9245E" w14:paraId="56662BD2" w14:textId="77777777" w:rsidTr="007879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0" w:type="dxa"/>
          </w:tcPr>
          <w:p w14:paraId="6B74BF79" w14:textId="77777777" w:rsidR="007879AA" w:rsidRDefault="007879AA" w:rsidP="00283928">
            <w:pPr>
              <w:spacing w:after="8" w:line="266" w:lineRule="auto"/>
              <w:rPr>
                <w:rFonts w:asciiTheme="minorHAnsi" w:hAnsiTheme="minorHAnsi" w:cstheme="minorHAnsi"/>
                <w:b w:val="0"/>
                <w:bCs w:val="0"/>
                <w:sz w:val="22"/>
                <w:szCs w:val="22"/>
              </w:rPr>
            </w:pPr>
          </w:p>
          <w:p w14:paraId="16629C41" w14:textId="3A124F30" w:rsidR="00B9245E" w:rsidRPr="00B9245E" w:rsidRDefault="001838D9" w:rsidP="00283928">
            <w:pPr>
              <w:spacing w:after="8" w:line="266" w:lineRule="auto"/>
              <w:rPr>
                <w:rFonts w:asciiTheme="minorHAnsi" w:hAnsiTheme="minorHAnsi" w:cstheme="minorHAnsi"/>
                <w:b w:val="0"/>
                <w:bCs w:val="0"/>
                <w:sz w:val="22"/>
                <w:szCs w:val="22"/>
              </w:rPr>
            </w:pPr>
            <w:r>
              <w:rPr>
                <w:rFonts w:asciiTheme="minorHAnsi" w:hAnsiTheme="minorHAnsi" w:cstheme="minorHAnsi"/>
                <w:sz w:val="22"/>
                <w:szCs w:val="22"/>
              </w:rPr>
              <w:lastRenderedPageBreak/>
              <w:t>Do you utilize</w:t>
            </w:r>
            <w:r w:rsidR="00B9245E" w:rsidRPr="00B9245E">
              <w:rPr>
                <w:rFonts w:asciiTheme="minorHAnsi" w:hAnsiTheme="minorHAnsi" w:cstheme="minorHAnsi"/>
                <w:b w:val="0"/>
                <w:bCs w:val="0"/>
                <w:sz w:val="22"/>
                <w:szCs w:val="22"/>
              </w:rPr>
              <w:t xml:space="preserve"> existing vulnerability and incident management capabilities to identify potential supply chain vulnerabilities</w:t>
            </w:r>
          </w:p>
        </w:tc>
        <w:tc>
          <w:tcPr>
            <w:tcW w:w="2332" w:type="dxa"/>
          </w:tcPr>
          <w:p w14:paraId="2357FC06" w14:textId="77777777" w:rsidR="007879AA" w:rsidRDefault="007879AA"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p w14:paraId="60112E9F" w14:textId="78E27964" w:rsidR="00B9245E" w:rsidRPr="00B9245E" w:rsidRDefault="00B9245E"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lastRenderedPageBreak/>
              <w:t>Identified multiple supplier who are not using our existing IR &amp; VM processes</w:t>
            </w:r>
          </w:p>
        </w:tc>
        <w:tc>
          <w:tcPr>
            <w:tcW w:w="990" w:type="dxa"/>
          </w:tcPr>
          <w:p w14:paraId="2E2F6138" w14:textId="77777777" w:rsidR="007879AA" w:rsidRDefault="007879AA"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p w14:paraId="0E366EC5" w14:textId="016C2E0D" w:rsidR="00B9245E" w:rsidRPr="00B9245E" w:rsidRDefault="00B9245E"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lastRenderedPageBreak/>
              <w:t>Critical</w:t>
            </w:r>
          </w:p>
        </w:tc>
        <w:tc>
          <w:tcPr>
            <w:tcW w:w="1984" w:type="dxa"/>
          </w:tcPr>
          <w:p w14:paraId="35905A18" w14:textId="77777777" w:rsidR="007879AA" w:rsidRDefault="007879AA"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p w14:paraId="59442959" w14:textId="5F11577D" w:rsidR="00B9245E" w:rsidRPr="00B9245E" w:rsidRDefault="00B9245E"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lastRenderedPageBreak/>
              <w:t xml:space="preserve">Identify suppliers, vendors who do not follow the existing processes, </w:t>
            </w:r>
            <w:r w:rsidR="00670C20" w:rsidRPr="00B9245E">
              <w:rPr>
                <w:rFonts w:asciiTheme="minorHAnsi" w:hAnsiTheme="minorHAnsi" w:cstheme="minorHAnsi"/>
                <w:sz w:val="22"/>
                <w:szCs w:val="22"/>
              </w:rPr>
              <w:t>especially</w:t>
            </w:r>
            <w:r w:rsidRPr="00B9245E">
              <w:rPr>
                <w:rFonts w:asciiTheme="minorHAnsi" w:hAnsiTheme="minorHAnsi" w:cstheme="minorHAnsi"/>
                <w:sz w:val="22"/>
                <w:szCs w:val="22"/>
              </w:rPr>
              <w:t xml:space="preserve"> when it comes to indecent notification and work with them to socialize and enforce the processes</w:t>
            </w:r>
          </w:p>
        </w:tc>
        <w:tc>
          <w:tcPr>
            <w:tcW w:w="1258" w:type="dxa"/>
          </w:tcPr>
          <w:p w14:paraId="26468557" w14:textId="77777777" w:rsidR="007879AA" w:rsidRDefault="007879AA"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p w14:paraId="26F31480" w14:textId="7DDD1A4A" w:rsidR="00B9245E" w:rsidRPr="00B9245E" w:rsidRDefault="00B9245E" w:rsidP="00283928">
            <w:pPr>
              <w:spacing w:after="8" w:line="26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B9245E">
              <w:rPr>
                <w:rFonts w:asciiTheme="minorHAnsi" w:hAnsiTheme="minorHAnsi" w:cstheme="minorHAnsi"/>
                <w:sz w:val="22"/>
                <w:szCs w:val="22"/>
              </w:rPr>
              <w:lastRenderedPageBreak/>
              <w:t>October, 2020</w:t>
            </w:r>
          </w:p>
        </w:tc>
      </w:tr>
    </w:tbl>
    <w:p w14:paraId="28ABEF68" w14:textId="77777777" w:rsidR="00B9245E" w:rsidRPr="00B9245E" w:rsidRDefault="00B9245E" w:rsidP="00B9245E">
      <w:pPr>
        <w:spacing w:after="8" w:line="266" w:lineRule="auto"/>
        <w:ind w:left="-4" w:hanging="10"/>
        <w:rPr>
          <w:rFonts w:asciiTheme="minorHAnsi" w:hAnsiTheme="minorHAnsi" w:cstheme="minorHAnsi"/>
          <w:sz w:val="22"/>
          <w:szCs w:val="22"/>
        </w:rPr>
      </w:pPr>
    </w:p>
    <w:p w14:paraId="1905707F" w14:textId="77777777" w:rsidR="00001078" w:rsidRPr="00B9245E" w:rsidRDefault="00001078" w:rsidP="00A6150B">
      <w:pPr>
        <w:pStyle w:val="NoSpacing"/>
        <w:rPr>
          <w:rFonts w:asciiTheme="minorHAnsi" w:eastAsia="Arial" w:hAnsiTheme="minorHAnsi" w:cstheme="minorHAnsi"/>
          <w:sz w:val="22"/>
          <w:szCs w:val="22"/>
        </w:rPr>
      </w:pPr>
    </w:p>
    <w:p w14:paraId="1407AD17" w14:textId="77777777" w:rsidR="00CC301E" w:rsidRDefault="00CC301E">
      <w:pPr>
        <w:spacing w:after="160" w:line="259" w:lineRule="auto"/>
        <w:rPr>
          <w:rFonts w:asciiTheme="majorHAnsi" w:eastAsia="Arial" w:hAnsiTheme="majorHAnsi" w:cstheme="majorBidi"/>
          <w:b/>
          <w:bCs/>
          <w:color w:val="1F4D78" w:themeColor="accent1" w:themeShade="7F"/>
          <w:sz w:val="24"/>
          <w:szCs w:val="24"/>
        </w:rPr>
      </w:pPr>
      <w:r>
        <w:rPr>
          <w:rFonts w:eastAsia="Arial"/>
          <w:b/>
          <w:bCs/>
        </w:rPr>
        <w:br w:type="page"/>
      </w:r>
    </w:p>
    <w:p w14:paraId="00B97522" w14:textId="242AABA5" w:rsidR="00001078" w:rsidRPr="00550D22" w:rsidRDefault="00001078" w:rsidP="00550D22">
      <w:pPr>
        <w:pStyle w:val="Heading3"/>
        <w:rPr>
          <w:rFonts w:eastAsia="Arial"/>
          <w:b/>
          <w:bCs/>
        </w:rPr>
      </w:pPr>
      <w:r w:rsidRPr="00550D22">
        <w:rPr>
          <w:rFonts w:eastAsia="Arial"/>
          <w:b/>
          <w:bCs/>
        </w:rPr>
        <w:lastRenderedPageBreak/>
        <w:t>References</w:t>
      </w:r>
    </w:p>
    <w:p w14:paraId="7F753F55" w14:textId="77777777" w:rsidR="005C22B5" w:rsidRPr="00911331" w:rsidRDefault="005C22B5" w:rsidP="00911331">
      <w:pPr>
        <w:rPr>
          <w:sz w:val="24"/>
          <w:szCs w:val="24"/>
        </w:rPr>
      </w:pPr>
      <w:r w:rsidRPr="00911331">
        <w:rPr>
          <w:sz w:val="24"/>
          <w:szCs w:val="24"/>
        </w:rPr>
        <w:t>Sigler, Ken, </w:t>
      </w:r>
      <w:r w:rsidRPr="00911331">
        <w:rPr>
          <w:rFonts w:eastAsiaTheme="majorEastAsia"/>
          <w:sz w:val="24"/>
          <w:szCs w:val="24"/>
        </w:rPr>
        <w:t>Dan Shoemaker</w:t>
      </w:r>
      <w:r w:rsidRPr="00911331">
        <w:rPr>
          <w:sz w:val="24"/>
          <w:szCs w:val="24"/>
        </w:rPr>
        <w:t> and, </w:t>
      </w:r>
      <w:r w:rsidRPr="00911331">
        <w:rPr>
          <w:rFonts w:eastAsiaTheme="majorEastAsia"/>
          <w:sz w:val="24"/>
          <w:szCs w:val="24"/>
        </w:rPr>
        <w:t xml:space="preserve">Anne Kohnke, </w:t>
      </w:r>
      <w:r w:rsidRPr="00911331">
        <w:rPr>
          <w:sz w:val="24"/>
          <w:szCs w:val="24"/>
        </w:rPr>
        <w:t>Supply Chain Risk Management: Applying Secure Acquisition Principles to Ensure a Trusted Technology Product, Auerbach Publications; (Internal Audit and IT Audit) 1st Edition, November 3, 2017</w:t>
      </w:r>
    </w:p>
    <w:p w14:paraId="5B70E917" w14:textId="77777777" w:rsidR="00911331" w:rsidRDefault="00911331" w:rsidP="00911331">
      <w:pPr>
        <w:rPr>
          <w:sz w:val="24"/>
          <w:szCs w:val="24"/>
        </w:rPr>
      </w:pPr>
    </w:p>
    <w:p w14:paraId="5949B42D" w14:textId="34772FC8" w:rsidR="00BD2F65" w:rsidRPr="00911331" w:rsidRDefault="00A06B0F" w:rsidP="00911331">
      <w:pPr>
        <w:rPr>
          <w:sz w:val="24"/>
          <w:szCs w:val="24"/>
        </w:rPr>
      </w:pPr>
      <w:r w:rsidRPr="00911331">
        <w:rPr>
          <w:sz w:val="24"/>
          <w:szCs w:val="24"/>
        </w:rPr>
        <w:t xml:space="preserve">Shoemaker, </w:t>
      </w:r>
      <w:r w:rsidR="005C22B5" w:rsidRPr="00911331">
        <w:rPr>
          <w:sz w:val="24"/>
          <w:szCs w:val="24"/>
        </w:rPr>
        <w:t>Dan,</w:t>
      </w:r>
      <w:r w:rsidRPr="00911331">
        <w:rPr>
          <w:sz w:val="24"/>
          <w:szCs w:val="24"/>
        </w:rPr>
        <w:t xml:space="preserve"> and Kenneth Sigler, “Cybersecurity: Engineering a More Secure IT Organization”, Cengage Learning, 2014</w:t>
      </w:r>
      <w:r w:rsidR="00BD2F65" w:rsidRPr="00911331">
        <w:rPr>
          <w:sz w:val="24"/>
          <w:szCs w:val="24"/>
        </w:rPr>
        <w:t xml:space="preserve">, Chapters 5 and 7 </w:t>
      </w:r>
    </w:p>
    <w:p w14:paraId="5CDC5B57" w14:textId="77777777" w:rsidR="00911331" w:rsidRDefault="00911331" w:rsidP="00911331">
      <w:pPr>
        <w:rPr>
          <w:sz w:val="24"/>
          <w:szCs w:val="24"/>
        </w:rPr>
      </w:pPr>
    </w:p>
    <w:p w14:paraId="7B9212F6" w14:textId="15AB049B" w:rsidR="00BD2F65" w:rsidRPr="00911331" w:rsidRDefault="00BD2F65" w:rsidP="00911331">
      <w:pPr>
        <w:rPr>
          <w:sz w:val="24"/>
          <w:szCs w:val="24"/>
        </w:rPr>
      </w:pPr>
      <w:r w:rsidRPr="00911331">
        <w:rPr>
          <w:sz w:val="24"/>
          <w:szCs w:val="24"/>
        </w:rPr>
        <w:t xml:space="preserve">ISO 27001 and ISO 27002 (provided as BS7799) </w:t>
      </w:r>
    </w:p>
    <w:p w14:paraId="495E2618" w14:textId="77777777" w:rsidR="00911331" w:rsidRDefault="00911331" w:rsidP="00911331">
      <w:pPr>
        <w:rPr>
          <w:sz w:val="24"/>
          <w:szCs w:val="24"/>
        </w:rPr>
      </w:pPr>
    </w:p>
    <w:p w14:paraId="2DEE67CC" w14:textId="0CA8F8D1" w:rsidR="00BD2F65" w:rsidRPr="00911331" w:rsidRDefault="00BD2F65" w:rsidP="00911331">
      <w:pPr>
        <w:rPr>
          <w:sz w:val="24"/>
          <w:szCs w:val="24"/>
        </w:rPr>
      </w:pPr>
      <w:r w:rsidRPr="00911331">
        <w:rPr>
          <w:sz w:val="24"/>
          <w:szCs w:val="24"/>
        </w:rPr>
        <w:t xml:space="preserve">IEEE 1028-1997 Standard for Software Reviews  </w:t>
      </w:r>
    </w:p>
    <w:p w14:paraId="572FA910" w14:textId="77777777" w:rsidR="00911331" w:rsidRDefault="00911331" w:rsidP="00911331">
      <w:pPr>
        <w:rPr>
          <w:sz w:val="24"/>
          <w:szCs w:val="24"/>
        </w:rPr>
      </w:pPr>
    </w:p>
    <w:p w14:paraId="2E10BD79" w14:textId="3BE83B17" w:rsidR="00BD2F65" w:rsidRPr="00911331" w:rsidRDefault="00BD2F65" w:rsidP="00911331">
      <w:pPr>
        <w:rPr>
          <w:sz w:val="24"/>
          <w:szCs w:val="24"/>
        </w:rPr>
      </w:pPr>
      <w:r w:rsidRPr="00911331">
        <w:rPr>
          <w:sz w:val="24"/>
          <w:szCs w:val="24"/>
        </w:rPr>
        <w:t xml:space="preserve">ISO/IEC 9126 – 1991 Software Product Evaluation - Quality Characteristics and Guidelines for Their Use (can be read as ISO/IEC 9126- 96) </w:t>
      </w:r>
    </w:p>
    <w:p w14:paraId="6D405797" w14:textId="77777777" w:rsidR="00911331" w:rsidRDefault="00911331" w:rsidP="00911331">
      <w:pPr>
        <w:rPr>
          <w:sz w:val="24"/>
          <w:szCs w:val="24"/>
        </w:rPr>
      </w:pPr>
    </w:p>
    <w:p w14:paraId="5341A5EB" w14:textId="5A759E22" w:rsidR="00BD2F65" w:rsidRPr="00911331" w:rsidRDefault="00BD2F65" w:rsidP="00911331">
      <w:pPr>
        <w:rPr>
          <w:sz w:val="24"/>
          <w:szCs w:val="24"/>
        </w:rPr>
      </w:pPr>
      <w:r w:rsidRPr="00911331">
        <w:rPr>
          <w:sz w:val="24"/>
          <w:szCs w:val="24"/>
        </w:rPr>
        <w:t xml:space="preserve">IEEE 610 - Standard Glossary of Software Engineering Terminology </w:t>
      </w:r>
    </w:p>
    <w:p w14:paraId="188715D8" w14:textId="77777777" w:rsidR="00BD2F65" w:rsidRPr="00911331" w:rsidRDefault="00BD2F65" w:rsidP="00911331">
      <w:pPr>
        <w:rPr>
          <w:sz w:val="24"/>
          <w:szCs w:val="24"/>
        </w:rPr>
      </w:pPr>
      <w:r w:rsidRPr="00911331">
        <w:rPr>
          <w:sz w:val="24"/>
          <w:szCs w:val="24"/>
        </w:rPr>
        <w:t xml:space="preserve">The Common Weakness Enumeration http://cwe.mitre.org/ </w:t>
      </w:r>
    </w:p>
    <w:p w14:paraId="6DD1A95E" w14:textId="77777777" w:rsidR="00911331" w:rsidRDefault="00911331" w:rsidP="00911331">
      <w:pPr>
        <w:rPr>
          <w:sz w:val="24"/>
          <w:szCs w:val="24"/>
        </w:rPr>
      </w:pPr>
    </w:p>
    <w:p w14:paraId="115DC169" w14:textId="586D2282" w:rsidR="00BD2F65" w:rsidRPr="00911331" w:rsidRDefault="00BD2F65" w:rsidP="00911331">
      <w:pPr>
        <w:rPr>
          <w:sz w:val="24"/>
          <w:szCs w:val="24"/>
        </w:rPr>
      </w:pPr>
      <w:r w:rsidRPr="00911331">
        <w:rPr>
          <w:sz w:val="24"/>
          <w:szCs w:val="24"/>
        </w:rPr>
        <w:t>Foreign Ownership, Influence or Control Investigations (FOCI)</w:t>
      </w:r>
      <w:r w:rsidR="005C22B5" w:rsidRPr="00911331">
        <w:rPr>
          <w:sz w:val="24"/>
          <w:szCs w:val="24"/>
        </w:rPr>
        <w:t xml:space="preserve"> </w:t>
      </w:r>
      <w:r w:rsidRPr="00911331">
        <w:rPr>
          <w:sz w:val="24"/>
          <w:szCs w:val="24"/>
        </w:rPr>
        <w:t xml:space="preserve">http://www.dss.mil/isp/foci/foci_info.html  </w:t>
      </w:r>
    </w:p>
    <w:p w14:paraId="5CBD5281" w14:textId="77777777" w:rsidR="005C22B5" w:rsidRPr="00A76E57" w:rsidRDefault="005C22B5">
      <w:pPr>
        <w:spacing w:after="240"/>
        <w:rPr>
          <w:rFonts w:asciiTheme="minorHAnsi" w:hAnsiTheme="minorHAnsi" w:cstheme="minorHAnsi"/>
          <w:sz w:val="24"/>
          <w:szCs w:val="24"/>
        </w:rPr>
      </w:pPr>
    </w:p>
    <w:sectPr w:rsidR="005C22B5" w:rsidRPr="00A76E57" w:rsidSect="00331461">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51352B" w14:textId="77777777" w:rsidR="00980D69" w:rsidRDefault="00980D69" w:rsidP="00350565">
      <w:r>
        <w:separator/>
      </w:r>
    </w:p>
  </w:endnote>
  <w:endnote w:type="continuationSeparator" w:id="0">
    <w:p w14:paraId="02B6EFA0" w14:textId="77777777" w:rsidR="00980D69" w:rsidRDefault="00980D69" w:rsidP="0035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sidR="00DD6F4D">
          <w:rPr>
            <w:noProof/>
          </w:rPr>
          <w:t>4</w:t>
        </w:r>
        <w:r>
          <w:rPr>
            <w:noProof/>
          </w:rPr>
          <w:fldChar w:fldCharType="end"/>
        </w:r>
      </w:p>
    </w:sdtContent>
  </w:sdt>
  <w:p w14:paraId="31A2254E" w14:textId="77777777" w:rsidR="00331461" w:rsidRDefault="003314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51B8AB" w14:textId="77777777" w:rsidR="00980D69" w:rsidRDefault="00980D69" w:rsidP="00350565">
      <w:r>
        <w:separator/>
      </w:r>
    </w:p>
  </w:footnote>
  <w:footnote w:type="continuationSeparator" w:id="0">
    <w:p w14:paraId="615A109A" w14:textId="77777777" w:rsidR="00980D69" w:rsidRDefault="00980D69" w:rsidP="00350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E11F3"/>
    <w:multiLevelType w:val="hybridMultilevel"/>
    <w:tmpl w:val="9E6E6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F5FC8"/>
    <w:multiLevelType w:val="hybridMultilevel"/>
    <w:tmpl w:val="946EB650"/>
    <w:lvl w:ilvl="0" w:tplc="D45A2CF4">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5247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E53346F"/>
    <w:multiLevelType w:val="hybridMultilevel"/>
    <w:tmpl w:val="7DFE1EDE"/>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D80222"/>
    <w:multiLevelType w:val="hybridMultilevel"/>
    <w:tmpl w:val="6C0212FE"/>
    <w:lvl w:ilvl="0" w:tplc="95B48E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873E7E"/>
    <w:multiLevelType w:val="hybridMultilevel"/>
    <w:tmpl w:val="A80C76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645071F"/>
    <w:multiLevelType w:val="hybridMultilevel"/>
    <w:tmpl w:val="8B98D45A"/>
    <w:lvl w:ilvl="0" w:tplc="9F4A453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664931"/>
    <w:multiLevelType w:val="hybridMultilevel"/>
    <w:tmpl w:val="5EBE2494"/>
    <w:lvl w:ilvl="0" w:tplc="9F4A4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35A6EE8"/>
    <w:multiLevelType w:val="hybridMultilevel"/>
    <w:tmpl w:val="DEF031D4"/>
    <w:lvl w:ilvl="0" w:tplc="4748F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5543D74"/>
    <w:multiLevelType w:val="hybridMultilevel"/>
    <w:tmpl w:val="35CA1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A109BF"/>
    <w:multiLevelType w:val="hybridMultilevel"/>
    <w:tmpl w:val="48CAC668"/>
    <w:lvl w:ilvl="0" w:tplc="0504C3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4F9026B"/>
    <w:multiLevelType w:val="hybridMultilevel"/>
    <w:tmpl w:val="F188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974D9D"/>
    <w:multiLevelType w:val="hybridMultilevel"/>
    <w:tmpl w:val="7EDE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CD0656"/>
    <w:multiLevelType w:val="hybridMultilevel"/>
    <w:tmpl w:val="A3207776"/>
    <w:lvl w:ilvl="0" w:tplc="9F4A45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16D472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C854396"/>
    <w:multiLevelType w:val="hybridMultilevel"/>
    <w:tmpl w:val="904C3E4C"/>
    <w:lvl w:ilvl="0" w:tplc="94E46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D9106DB"/>
    <w:multiLevelType w:val="hybridMultilevel"/>
    <w:tmpl w:val="BB10F24A"/>
    <w:lvl w:ilvl="0" w:tplc="9F4A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61BB0"/>
    <w:multiLevelType w:val="hybridMultilevel"/>
    <w:tmpl w:val="021C6C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937E74"/>
    <w:multiLevelType w:val="hybridMultilevel"/>
    <w:tmpl w:val="C520FD2C"/>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4FC15B69"/>
    <w:multiLevelType w:val="hybridMultilevel"/>
    <w:tmpl w:val="C0B0D80C"/>
    <w:lvl w:ilvl="0" w:tplc="09229932">
      <w:start w:val="1"/>
      <w:numFmt w:val="decimal"/>
      <w:lvlText w:val="%1)"/>
      <w:lvlJc w:val="left"/>
      <w:pPr>
        <w:ind w:left="1081" w:hanging="360"/>
      </w:pPr>
      <w:rPr>
        <w:rFonts w:hint="default"/>
      </w:rPr>
    </w:lvl>
    <w:lvl w:ilvl="1" w:tplc="04090019" w:tentative="1">
      <w:start w:val="1"/>
      <w:numFmt w:val="lowerLetter"/>
      <w:lvlText w:val="%2."/>
      <w:lvlJc w:val="left"/>
      <w:pPr>
        <w:ind w:left="1801" w:hanging="360"/>
      </w:p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20" w15:restartNumberingAfterBreak="0">
    <w:nsid w:val="52125460"/>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6D868D9"/>
    <w:multiLevelType w:val="hybridMultilevel"/>
    <w:tmpl w:val="E7ECF4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5C3A6FB3"/>
    <w:multiLevelType w:val="hybridMultilevel"/>
    <w:tmpl w:val="93AEF60E"/>
    <w:lvl w:ilvl="0" w:tplc="09229932">
      <w:start w:val="1"/>
      <w:numFmt w:val="decimal"/>
      <w:lvlText w:val="%1)"/>
      <w:lvlJc w:val="left"/>
      <w:pPr>
        <w:ind w:left="1081" w:hanging="360"/>
      </w:pPr>
      <w:rPr>
        <w:rFonts w:hint="default"/>
      </w:rPr>
    </w:lvl>
    <w:lvl w:ilvl="1" w:tplc="04090019">
      <w:start w:val="1"/>
      <w:numFmt w:val="lowerLetter"/>
      <w:lvlText w:val="%2."/>
      <w:lvlJc w:val="left"/>
      <w:pPr>
        <w:ind w:left="1801" w:hanging="360"/>
      </w:pPr>
    </w:lvl>
    <w:lvl w:ilvl="2" w:tplc="0409001B">
      <w:start w:val="1"/>
      <w:numFmt w:val="lowerRoman"/>
      <w:lvlText w:val="%3."/>
      <w:lvlJc w:val="right"/>
      <w:pPr>
        <w:ind w:left="2521" w:hanging="180"/>
      </w:pPr>
    </w:lvl>
    <w:lvl w:ilvl="3" w:tplc="7DEADBDC">
      <w:start w:val="3"/>
      <w:numFmt w:val="bullet"/>
      <w:lvlText w:val=""/>
      <w:lvlJc w:val="left"/>
      <w:pPr>
        <w:ind w:left="3241" w:hanging="360"/>
      </w:pPr>
      <w:rPr>
        <w:rFonts w:ascii="Symbol" w:eastAsia="Times New Roman" w:hAnsi="Symbol" w:cs="Calibri" w:hint="default"/>
      </w:r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23" w15:restartNumberingAfterBreak="0">
    <w:nsid w:val="5C4212C5"/>
    <w:multiLevelType w:val="hybridMultilevel"/>
    <w:tmpl w:val="EB408D44"/>
    <w:lvl w:ilvl="0" w:tplc="61D48A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D066998"/>
    <w:multiLevelType w:val="hybridMultilevel"/>
    <w:tmpl w:val="5844C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345E4E"/>
    <w:multiLevelType w:val="hybridMultilevel"/>
    <w:tmpl w:val="6016ACF0"/>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AA68E2"/>
    <w:multiLevelType w:val="hybridMultilevel"/>
    <w:tmpl w:val="B6DCC0A2"/>
    <w:lvl w:ilvl="0" w:tplc="09229932">
      <w:start w:val="1"/>
      <w:numFmt w:val="decimal"/>
      <w:lvlText w:val="%1)"/>
      <w:lvlJc w:val="left"/>
      <w:pPr>
        <w:ind w:left="1081" w:hanging="360"/>
      </w:pPr>
      <w:rPr>
        <w:rFonts w:hint="default"/>
      </w:rPr>
    </w:lvl>
    <w:lvl w:ilvl="1" w:tplc="04090019">
      <w:start w:val="1"/>
      <w:numFmt w:val="lowerLetter"/>
      <w:lvlText w:val="%2."/>
      <w:lvlJc w:val="left"/>
      <w:pPr>
        <w:ind w:left="1801" w:hanging="360"/>
      </w:pPr>
    </w:lvl>
    <w:lvl w:ilvl="2" w:tplc="0409001B">
      <w:start w:val="1"/>
      <w:numFmt w:val="lowerRoman"/>
      <w:lvlText w:val="%3."/>
      <w:lvlJc w:val="right"/>
      <w:pPr>
        <w:ind w:left="2521" w:hanging="180"/>
      </w:pPr>
    </w:lvl>
    <w:lvl w:ilvl="3" w:tplc="7DEADBDC">
      <w:start w:val="3"/>
      <w:numFmt w:val="bullet"/>
      <w:lvlText w:val=""/>
      <w:lvlJc w:val="left"/>
      <w:pPr>
        <w:ind w:left="3241" w:hanging="360"/>
      </w:pPr>
      <w:rPr>
        <w:rFonts w:ascii="Symbol" w:eastAsia="Times New Roman" w:hAnsi="Symbol" w:cs="Calibri" w:hint="default"/>
      </w:r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27" w15:restartNumberingAfterBreak="0">
    <w:nsid w:val="6161143D"/>
    <w:multiLevelType w:val="hybridMultilevel"/>
    <w:tmpl w:val="4CDA99CC"/>
    <w:lvl w:ilvl="0" w:tplc="BD04DA7E">
      <w:start w:val="1"/>
      <w:numFmt w:val="decimal"/>
      <w:lvlText w:val="%1."/>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596C6F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A0818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8ECBB5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AACB1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30E60C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000FB6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1C06E1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974CA9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78B08F3"/>
    <w:multiLevelType w:val="hybridMultilevel"/>
    <w:tmpl w:val="1F2658D6"/>
    <w:lvl w:ilvl="0" w:tplc="0409001B">
      <w:start w:val="1"/>
      <w:numFmt w:val="lowerRoman"/>
      <w:lvlText w:val="%1."/>
      <w:lvlJc w:val="right"/>
      <w:pPr>
        <w:ind w:left="2521" w:hanging="360"/>
      </w:pPr>
    </w:lvl>
    <w:lvl w:ilvl="1" w:tplc="04090019">
      <w:start w:val="1"/>
      <w:numFmt w:val="lowerLetter"/>
      <w:lvlText w:val="%2."/>
      <w:lvlJc w:val="left"/>
      <w:pPr>
        <w:ind w:left="3241" w:hanging="360"/>
      </w:pPr>
    </w:lvl>
    <w:lvl w:ilvl="2" w:tplc="0409001B">
      <w:start w:val="1"/>
      <w:numFmt w:val="lowerRoman"/>
      <w:lvlText w:val="%3."/>
      <w:lvlJc w:val="right"/>
      <w:pPr>
        <w:ind w:left="3961" w:hanging="180"/>
      </w:pPr>
    </w:lvl>
    <w:lvl w:ilvl="3" w:tplc="0409000F" w:tentative="1">
      <w:start w:val="1"/>
      <w:numFmt w:val="decimal"/>
      <w:lvlText w:val="%4."/>
      <w:lvlJc w:val="left"/>
      <w:pPr>
        <w:ind w:left="4681" w:hanging="360"/>
      </w:pPr>
    </w:lvl>
    <w:lvl w:ilvl="4" w:tplc="04090019" w:tentative="1">
      <w:start w:val="1"/>
      <w:numFmt w:val="lowerLetter"/>
      <w:lvlText w:val="%5."/>
      <w:lvlJc w:val="left"/>
      <w:pPr>
        <w:ind w:left="5401" w:hanging="360"/>
      </w:pPr>
    </w:lvl>
    <w:lvl w:ilvl="5" w:tplc="0409001B" w:tentative="1">
      <w:start w:val="1"/>
      <w:numFmt w:val="lowerRoman"/>
      <w:lvlText w:val="%6."/>
      <w:lvlJc w:val="right"/>
      <w:pPr>
        <w:ind w:left="6121" w:hanging="180"/>
      </w:pPr>
    </w:lvl>
    <w:lvl w:ilvl="6" w:tplc="0409000F" w:tentative="1">
      <w:start w:val="1"/>
      <w:numFmt w:val="decimal"/>
      <w:lvlText w:val="%7."/>
      <w:lvlJc w:val="left"/>
      <w:pPr>
        <w:ind w:left="6841" w:hanging="360"/>
      </w:pPr>
    </w:lvl>
    <w:lvl w:ilvl="7" w:tplc="04090019" w:tentative="1">
      <w:start w:val="1"/>
      <w:numFmt w:val="lowerLetter"/>
      <w:lvlText w:val="%8."/>
      <w:lvlJc w:val="left"/>
      <w:pPr>
        <w:ind w:left="7561" w:hanging="360"/>
      </w:pPr>
    </w:lvl>
    <w:lvl w:ilvl="8" w:tplc="0409001B" w:tentative="1">
      <w:start w:val="1"/>
      <w:numFmt w:val="lowerRoman"/>
      <w:lvlText w:val="%9."/>
      <w:lvlJc w:val="right"/>
      <w:pPr>
        <w:ind w:left="8281" w:hanging="180"/>
      </w:pPr>
    </w:lvl>
  </w:abstractNum>
  <w:abstractNum w:abstractNumId="29" w15:restartNumberingAfterBreak="0">
    <w:nsid w:val="6829324C"/>
    <w:multiLevelType w:val="hybridMultilevel"/>
    <w:tmpl w:val="B53C717A"/>
    <w:lvl w:ilvl="0" w:tplc="D45A2CF4">
      <w:start w:val="1"/>
      <w:numFmt w:val="decimal"/>
      <w:lvlText w:val="A.%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42074E"/>
    <w:multiLevelType w:val="hybridMultilevel"/>
    <w:tmpl w:val="C8BEA51E"/>
    <w:lvl w:ilvl="0" w:tplc="095A3C32">
      <w:start w:val="1"/>
      <w:numFmt w:val="bullet"/>
      <w:lvlText w:val="•"/>
      <w:lvlJc w:val="left"/>
      <w:pPr>
        <w:ind w:left="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0D65070">
      <w:start w:val="1"/>
      <w:numFmt w:val="bullet"/>
      <w:lvlText w:val="o"/>
      <w:lvlJc w:val="left"/>
      <w:pPr>
        <w:ind w:left="14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F007586">
      <w:start w:val="1"/>
      <w:numFmt w:val="bullet"/>
      <w:lvlText w:val="▪"/>
      <w:lvlJc w:val="left"/>
      <w:pPr>
        <w:ind w:left="21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54893C4">
      <w:start w:val="1"/>
      <w:numFmt w:val="bullet"/>
      <w:lvlText w:val="•"/>
      <w:lvlJc w:val="left"/>
      <w:pPr>
        <w:ind w:left="2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A833EA">
      <w:start w:val="1"/>
      <w:numFmt w:val="bullet"/>
      <w:lvlText w:val="o"/>
      <w:lvlJc w:val="left"/>
      <w:pPr>
        <w:ind w:left="36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2C2A68">
      <w:start w:val="1"/>
      <w:numFmt w:val="bullet"/>
      <w:lvlText w:val="▪"/>
      <w:lvlJc w:val="left"/>
      <w:pPr>
        <w:ind w:left="43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BB49DBC">
      <w:start w:val="1"/>
      <w:numFmt w:val="bullet"/>
      <w:lvlText w:val="•"/>
      <w:lvlJc w:val="left"/>
      <w:pPr>
        <w:ind w:left="5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B38CBA4">
      <w:start w:val="1"/>
      <w:numFmt w:val="bullet"/>
      <w:lvlText w:val="o"/>
      <w:lvlJc w:val="left"/>
      <w:pPr>
        <w:ind w:left="57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26E4558">
      <w:start w:val="1"/>
      <w:numFmt w:val="bullet"/>
      <w:lvlText w:val="▪"/>
      <w:lvlJc w:val="left"/>
      <w:pPr>
        <w:ind w:left="64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B7072C7"/>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6D1F1380"/>
    <w:multiLevelType w:val="hybridMultilevel"/>
    <w:tmpl w:val="66A2C43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6F240039"/>
    <w:multiLevelType w:val="hybridMultilevel"/>
    <w:tmpl w:val="641AD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D52F3B"/>
    <w:multiLevelType w:val="hybridMultilevel"/>
    <w:tmpl w:val="495838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4C869F0"/>
    <w:multiLevelType w:val="hybridMultilevel"/>
    <w:tmpl w:val="43EC4408"/>
    <w:lvl w:ilvl="0" w:tplc="159C6A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A1E127A"/>
    <w:multiLevelType w:val="hybridMultilevel"/>
    <w:tmpl w:val="D22A3CB0"/>
    <w:lvl w:ilvl="0" w:tplc="0409001B">
      <w:start w:val="1"/>
      <w:numFmt w:val="lowerRoman"/>
      <w:lvlText w:val="%1."/>
      <w:lvlJc w:val="right"/>
      <w:pPr>
        <w:ind w:left="2521" w:hanging="360"/>
      </w:pPr>
    </w:lvl>
    <w:lvl w:ilvl="1" w:tplc="04090019" w:tentative="1">
      <w:start w:val="1"/>
      <w:numFmt w:val="lowerLetter"/>
      <w:lvlText w:val="%2."/>
      <w:lvlJc w:val="left"/>
      <w:pPr>
        <w:ind w:left="3241" w:hanging="360"/>
      </w:pPr>
    </w:lvl>
    <w:lvl w:ilvl="2" w:tplc="0409001B" w:tentative="1">
      <w:start w:val="1"/>
      <w:numFmt w:val="lowerRoman"/>
      <w:lvlText w:val="%3."/>
      <w:lvlJc w:val="right"/>
      <w:pPr>
        <w:ind w:left="3961" w:hanging="180"/>
      </w:pPr>
    </w:lvl>
    <w:lvl w:ilvl="3" w:tplc="0409000F" w:tentative="1">
      <w:start w:val="1"/>
      <w:numFmt w:val="decimal"/>
      <w:lvlText w:val="%4."/>
      <w:lvlJc w:val="left"/>
      <w:pPr>
        <w:ind w:left="4681" w:hanging="360"/>
      </w:pPr>
    </w:lvl>
    <w:lvl w:ilvl="4" w:tplc="04090019" w:tentative="1">
      <w:start w:val="1"/>
      <w:numFmt w:val="lowerLetter"/>
      <w:lvlText w:val="%5."/>
      <w:lvlJc w:val="left"/>
      <w:pPr>
        <w:ind w:left="5401" w:hanging="360"/>
      </w:pPr>
    </w:lvl>
    <w:lvl w:ilvl="5" w:tplc="0409001B" w:tentative="1">
      <w:start w:val="1"/>
      <w:numFmt w:val="lowerRoman"/>
      <w:lvlText w:val="%6."/>
      <w:lvlJc w:val="right"/>
      <w:pPr>
        <w:ind w:left="6121" w:hanging="180"/>
      </w:pPr>
    </w:lvl>
    <w:lvl w:ilvl="6" w:tplc="0409000F" w:tentative="1">
      <w:start w:val="1"/>
      <w:numFmt w:val="decimal"/>
      <w:lvlText w:val="%7."/>
      <w:lvlJc w:val="left"/>
      <w:pPr>
        <w:ind w:left="6841" w:hanging="360"/>
      </w:pPr>
    </w:lvl>
    <w:lvl w:ilvl="7" w:tplc="04090019" w:tentative="1">
      <w:start w:val="1"/>
      <w:numFmt w:val="lowerLetter"/>
      <w:lvlText w:val="%8."/>
      <w:lvlJc w:val="left"/>
      <w:pPr>
        <w:ind w:left="7561" w:hanging="360"/>
      </w:pPr>
    </w:lvl>
    <w:lvl w:ilvl="8" w:tplc="0409001B" w:tentative="1">
      <w:start w:val="1"/>
      <w:numFmt w:val="lowerRoman"/>
      <w:lvlText w:val="%9."/>
      <w:lvlJc w:val="right"/>
      <w:pPr>
        <w:ind w:left="8281" w:hanging="180"/>
      </w:pPr>
    </w:lvl>
  </w:abstractNum>
  <w:abstractNum w:abstractNumId="37" w15:restartNumberingAfterBreak="0">
    <w:nsid w:val="7EEB4EAB"/>
    <w:multiLevelType w:val="hybridMultilevel"/>
    <w:tmpl w:val="68C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33"/>
  </w:num>
  <w:num w:numId="4">
    <w:abstractNumId w:val="24"/>
  </w:num>
  <w:num w:numId="5">
    <w:abstractNumId w:val="37"/>
  </w:num>
  <w:num w:numId="6">
    <w:abstractNumId w:val="3"/>
  </w:num>
  <w:num w:numId="7">
    <w:abstractNumId w:val="25"/>
  </w:num>
  <w:num w:numId="8">
    <w:abstractNumId w:val="9"/>
  </w:num>
  <w:num w:numId="9">
    <w:abstractNumId w:val="17"/>
  </w:num>
  <w:num w:numId="10">
    <w:abstractNumId w:val="6"/>
  </w:num>
  <w:num w:numId="11">
    <w:abstractNumId w:val="7"/>
  </w:num>
  <w:num w:numId="12">
    <w:abstractNumId w:val="8"/>
  </w:num>
  <w:num w:numId="13">
    <w:abstractNumId w:val="13"/>
  </w:num>
  <w:num w:numId="14">
    <w:abstractNumId w:val="23"/>
  </w:num>
  <w:num w:numId="15">
    <w:abstractNumId w:val="4"/>
  </w:num>
  <w:num w:numId="16">
    <w:abstractNumId w:val="10"/>
  </w:num>
  <w:num w:numId="17">
    <w:abstractNumId w:val="35"/>
  </w:num>
  <w:num w:numId="18">
    <w:abstractNumId w:val="15"/>
  </w:num>
  <w:num w:numId="19">
    <w:abstractNumId w:val="2"/>
  </w:num>
  <w:num w:numId="20">
    <w:abstractNumId w:val="14"/>
  </w:num>
  <w:num w:numId="21">
    <w:abstractNumId w:val="29"/>
  </w:num>
  <w:num w:numId="22">
    <w:abstractNumId w:val="1"/>
  </w:num>
  <w:num w:numId="23">
    <w:abstractNumId w:val="21"/>
  </w:num>
  <w:num w:numId="24">
    <w:abstractNumId w:val="32"/>
  </w:num>
  <w:num w:numId="25">
    <w:abstractNumId w:val="5"/>
  </w:num>
  <w:num w:numId="26">
    <w:abstractNumId w:val="20"/>
  </w:num>
  <w:num w:numId="27">
    <w:abstractNumId w:val="31"/>
  </w:num>
  <w:num w:numId="28">
    <w:abstractNumId w:val="16"/>
  </w:num>
  <w:num w:numId="29">
    <w:abstractNumId w:val="34"/>
  </w:num>
  <w:num w:numId="30">
    <w:abstractNumId w:val="27"/>
  </w:num>
  <w:num w:numId="31">
    <w:abstractNumId w:val="30"/>
  </w:num>
  <w:num w:numId="32">
    <w:abstractNumId w:val="19"/>
  </w:num>
  <w:num w:numId="33">
    <w:abstractNumId w:val="26"/>
  </w:num>
  <w:num w:numId="34">
    <w:abstractNumId w:val="28"/>
  </w:num>
  <w:num w:numId="35">
    <w:abstractNumId w:val="18"/>
  </w:num>
  <w:num w:numId="36">
    <w:abstractNumId w:val="22"/>
  </w:num>
  <w:num w:numId="37">
    <w:abstractNumId w:val="36"/>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01078"/>
    <w:rsid w:val="000372FC"/>
    <w:rsid w:val="00071A1B"/>
    <w:rsid w:val="00074F32"/>
    <w:rsid w:val="000944AE"/>
    <w:rsid w:val="000B29D2"/>
    <w:rsid w:val="000C4D53"/>
    <w:rsid w:val="000D25E0"/>
    <w:rsid w:val="000E393A"/>
    <w:rsid w:val="000E7FE1"/>
    <w:rsid w:val="00116A27"/>
    <w:rsid w:val="00125729"/>
    <w:rsid w:val="001433A4"/>
    <w:rsid w:val="00155C37"/>
    <w:rsid w:val="0016128A"/>
    <w:rsid w:val="001838D9"/>
    <w:rsid w:val="001A1F95"/>
    <w:rsid w:val="001A542B"/>
    <w:rsid w:val="001F3BD1"/>
    <w:rsid w:val="00206667"/>
    <w:rsid w:val="00227F58"/>
    <w:rsid w:val="0024058C"/>
    <w:rsid w:val="002850C9"/>
    <w:rsid w:val="0029060D"/>
    <w:rsid w:val="002B7157"/>
    <w:rsid w:val="00325FB4"/>
    <w:rsid w:val="00330F4E"/>
    <w:rsid w:val="00331461"/>
    <w:rsid w:val="00334A05"/>
    <w:rsid w:val="00343352"/>
    <w:rsid w:val="00350565"/>
    <w:rsid w:val="0035429C"/>
    <w:rsid w:val="00371030"/>
    <w:rsid w:val="00383A15"/>
    <w:rsid w:val="00397A02"/>
    <w:rsid w:val="003B3504"/>
    <w:rsid w:val="003B4CB6"/>
    <w:rsid w:val="003D263E"/>
    <w:rsid w:val="00421E1B"/>
    <w:rsid w:val="00435E5F"/>
    <w:rsid w:val="00446704"/>
    <w:rsid w:val="00447F01"/>
    <w:rsid w:val="0047667A"/>
    <w:rsid w:val="00476DC4"/>
    <w:rsid w:val="00487D49"/>
    <w:rsid w:val="004B5571"/>
    <w:rsid w:val="004D514E"/>
    <w:rsid w:val="00505CCF"/>
    <w:rsid w:val="00513C82"/>
    <w:rsid w:val="00513FDA"/>
    <w:rsid w:val="00550D22"/>
    <w:rsid w:val="00565701"/>
    <w:rsid w:val="005669CE"/>
    <w:rsid w:val="0057224E"/>
    <w:rsid w:val="00575DC8"/>
    <w:rsid w:val="00583B22"/>
    <w:rsid w:val="005965C4"/>
    <w:rsid w:val="005B04E2"/>
    <w:rsid w:val="005C22B5"/>
    <w:rsid w:val="005E1D97"/>
    <w:rsid w:val="006006D2"/>
    <w:rsid w:val="00605556"/>
    <w:rsid w:val="00640F7E"/>
    <w:rsid w:val="00661FFC"/>
    <w:rsid w:val="006629DE"/>
    <w:rsid w:val="00670C20"/>
    <w:rsid w:val="0067728F"/>
    <w:rsid w:val="006D461D"/>
    <w:rsid w:val="00707C17"/>
    <w:rsid w:val="00735B5E"/>
    <w:rsid w:val="007627ED"/>
    <w:rsid w:val="00764B7F"/>
    <w:rsid w:val="00776CD6"/>
    <w:rsid w:val="0077762D"/>
    <w:rsid w:val="007879AA"/>
    <w:rsid w:val="007A2D49"/>
    <w:rsid w:val="007C0CDB"/>
    <w:rsid w:val="007E0B8F"/>
    <w:rsid w:val="007E2FCD"/>
    <w:rsid w:val="007E7882"/>
    <w:rsid w:val="007F4AE4"/>
    <w:rsid w:val="007F68B8"/>
    <w:rsid w:val="00847FB9"/>
    <w:rsid w:val="008511FD"/>
    <w:rsid w:val="008533FD"/>
    <w:rsid w:val="00855E9C"/>
    <w:rsid w:val="008C130D"/>
    <w:rsid w:val="008C2C74"/>
    <w:rsid w:val="008D5281"/>
    <w:rsid w:val="00911331"/>
    <w:rsid w:val="0091513E"/>
    <w:rsid w:val="00926569"/>
    <w:rsid w:val="0093157F"/>
    <w:rsid w:val="00954D27"/>
    <w:rsid w:val="00966821"/>
    <w:rsid w:val="00980D69"/>
    <w:rsid w:val="009A2C22"/>
    <w:rsid w:val="00A01ED1"/>
    <w:rsid w:val="00A06B0F"/>
    <w:rsid w:val="00A14D5C"/>
    <w:rsid w:val="00A315BC"/>
    <w:rsid w:val="00A47A65"/>
    <w:rsid w:val="00A6150B"/>
    <w:rsid w:val="00A6591D"/>
    <w:rsid w:val="00A76E57"/>
    <w:rsid w:val="00A77A5C"/>
    <w:rsid w:val="00A83531"/>
    <w:rsid w:val="00A9595C"/>
    <w:rsid w:val="00AD61CA"/>
    <w:rsid w:val="00AE0C53"/>
    <w:rsid w:val="00AE1A17"/>
    <w:rsid w:val="00AF6B37"/>
    <w:rsid w:val="00B009D3"/>
    <w:rsid w:val="00B017CB"/>
    <w:rsid w:val="00B1447E"/>
    <w:rsid w:val="00B72052"/>
    <w:rsid w:val="00B7360A"/>
    <w:rsid w:val="00B77A86"/>
    <w:rsid w:val="00B9245E"/>
    <w:rsid w:val="00B97AA0"/>
    <w:rsid w:val="00BB6CB1"/>
    <w:rsid w:val="00BB7C4D"/>
    <w:rsid w:val="00BC11BD"/>
    <w:rsid w:val="00BC4A5F"/>
    <w:rsid w:val="00BC6D4B"/>
    <w:rsid w:val="00BD2F65"/>
    <w:rsid w:val="00BD3ED4"/>
    <w:rsid w:val="00BD603D"/>
    <w:rsid w:val="00BE5546"/>
    <w:rsid w:val="00C17552"/>
    <w:rsid w:val="00C3135C"/>
    <w:rsid w:val="00C32966"/>
    <w:rsid w:val="00C51799"/>
    <w:rsid w:val="00C65EA9"/>
    <w:rsid w:val="00C74353"/>
    <w:rsid w:val="00CA7530"/>
    <w:rsid w:val="00CB1F01"/>
    <w:rsid w:val="00CC301E"/>
    <w:rsid w:val="00D26CED"/>
    <w:rsid w:val="00D35ECE"/>
    <w:rsid w:val="00D606C5"/>
    <w:rsid w:val="00D701FD"/>
    <w:rsid w:val="00D724DF"/>
    <w:rsid w:val="00D7262A"/>
    <w:rsid w:val="00D77DA7"/>
    <w:rsid w:val="00D82BA3"/>
    <w:rsid w:val="00DB6033"/>
    <w:rsid w:val="00DD6F4D"/>
    <w:rsid w:val="00DE2588"/>
    <w:rsid w:val="00DE7C18"/>
    <w:rsid w:val="00DF7635"/>
    <w:rsid w:val="00E0649D"/>
    <w:rsid w:val="00E1505E"/>
    <w:rsid w:val="00E24714"/>
    <w:rsid w:val="00E3036A"/>
    <w:rsid w:val="00E45D16"/>
    <w:rsid w:val="00E50814"/>
    <w:rsid w:val="00E8339C"/>
    <w:rsid w:val="00EA01EA"/>
    <w:rsid w:val="00EA118C"/>
    <w:rsid w:val="00EA1359"/>
    <w:rsid w:val="00EB16B9"/>
    <w:rsid w:val="00EB52B6"/>
    <w:rsid w:val="00EB5928"/>
    <w:rsid w:val="00F01B64"/>
    <w:rsid w:val="00F10850"/>
    <w:rsid w:val="00F25CAF"/>
    <w:rsid w:val="00F360B4"/>
    <w:rsid w:val="00F80CBA"/>
    <w:rsid w:val="00F8245B"/>
    <w:rsid w:val="00F83DC9"/>
    <w:rsid w:val="00FB3F2C"/>
    <w:rsid w:val="00FB4CCA"/>
    <w:rsid w:val="00FC0F39"/>
    <w:rsid w:val="00FC60DE"/>
    <w:rsid w:val="00FD5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54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uiPriority w:val="99"/>
    <w:semiHidden/>
    <w:unhideWhenUsed/>
    <w:rsid w:val="00350565"/>
  </w:style>
  <w:style w:type="character" w:customStyle="1" w:styleId="FootnoteTextChar">
    <w:name w:val="Footnote Text Char"/>
    <w:basedOn w:val="DefaultParagraphFont"/>
    <w:link w:val="FootnoteText"/>
    <w:uiPriority w:val="99"/>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pPr>
      <w:spacing w:after="0" w:line="240" w:lineRule="auto"/>
    </w:pPr>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35429C"/>
    <w:rPr>
      <w:color w:val="605E5C"/>
      <w:shd w:val="clear" w:color="auto" w:fill="E1DFDD"/>
    </w:rPr>
  </w:style>
  <w:style w:type="table" w:styleId="TableGrid">
    <w:name w:val="Table Grid"/>
    <w:basedOn w:val="TableNormal"/>
    <w:uiPriority w:val="39"/>
    <w:rsid w:val="00B924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FD54B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size-extra-large">
    <w:name w:val="a-size-extra-large"/>
    <w:basedOn w:val="DefaultParagraphFont"/>
    <w:rsid w:val="00FC60DE"/>
  </w:style>
  <w:style w:type="character" w:customStyle="1" w:styleId="a-size-large">
    <w:name w:val="a-size-large"/>
    <w:basedOn w:val="DefaultParagraphFont"/>
    <w:rsid w:val="00FC60DE"/>
  </w:style>
  <w:style w:type="character" w:customStyle="1" w:styleId="author">
    <w:name w:val="author"/>
    <w:basedOn w:val="DefaultParagraphFont"/>
    <w:rsid w:val="00FC60DE"/>
  </w:style>
  <w:style w:type="character" w:customStyle="1" w:styleId="a-color-secondary">
    <w:name w:val="a-color-secondary"/>
    <w:basedOn w:val="DefaultParagraphFont"/>
    <w:rsid w:val="00FC60DE"/>
  </w:style>
  <w:style w:type="character" w:customStyle="1" w:styleId="a-declarative">
    <w:name w:val="a-declarative"/>
    <w:basedOn w:val="DefaultParagraphFont"/>
    <w:rsid w:val="00FC60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8330405">
      <w:bodyDiv w:val="1"/>
      <w:marLeft w:val="0"/>
      <w:marRight w:val="0"/>
      <w:marTop w:val="0"/>
      <w:marBottom w:val="0"/>
      <w:divBdr>
        <w:top w:val="none" w:sz="0" w:space="0" w:color="auto"/>
        <w:left w:val="none" w:sz="0" w:space="0" w:color="auto"/>
        <w:bottom w:val="none" w:sz="0" w:space="0" w:color="auto"/>
        <w:right w:val="none" w:sz="0" w:space="0" w:color="auto"/>
      </w:divBdr>
      <w:divsChild>
        <w:div w:id="916204056">
          <w:marLeft w:val="0"/>
          <w:marRight w:val="0"/>
          <w:marTop w:val="0"/>
          <w:marBottom w:val="0"/>
          <w:divBdr>
            <w:top w:val="none" w:sz="0" w:space="0" w:color="auto"/>
            <w:left w:val="none" w:sz="0" w:space="0" w:color="auto"/>
            <w:bottom w:val="none" w:sz="0" w:space="0" w:color="auto"/>
            <w:right w:val="none" w:sz="0" w:space="0" w:color="auto"/>
          </w:divBdr>
          <w:divsChild>
            <w:div w:id="1794519372">
              <w:marLeft w:val="0"/>
              <w:marRight w:val="0"/>
              <w:marTop w:val="0"/>
              <w:marBottom w:val="0"/>
              <w:divBdr>
                <w:top w:val="none" w:sz="0" w:space="0" w:color="auto"/>
                <w:left w:val="none" w:sz="0" w:space="0" w:color="auto"/>
                <w:bottom w:val="none" w:sz="0" w:space="0" w:color="auto"/>
                <w:right w:val="none" w:sz="0" w:space="0" w:color="auto"/>
              </w:divBdr>
            </w:div>
          </w:divsChild>
        </w:div>
        <w:div w:id="1126849967">
          <w:marLeft w:val="0"/>
          <w:marRight w:val="0"/>
          <w:marTop w:val="0"/>
          <w:marBottom w:val="0"/>
          <w:divBdr>
            <w:top w:val="none" w:sz="0" w:space="0" w:color="auto"/>
            <w:left w:val="none" w:sz="0" w:space="0" w:color="auto"/>
            <w:bottom w:val="none" w:sz="0" w:space="0" w:color="auto"/>
            <w:right w:val="none" w:sz="0" w:space="0" w:color="auto"/>
          </w:divBdr>
          <w:divsChild>
            <w:div w:id="182461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6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0139E-A143-4534-B1C3-AD5F018E7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1089</Words>
  <Characters>5762</Characters>
  <Application>Microsoft Office Word</Application>
  <DocSecurity>0</DocSecurity>
  <Lines>140</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kohnkean@udmercy.edu</dc:creator>
  <cp:keywords/>
  <dc:description/>
  <cp:lastModifiedBy>Anne Kohnke</cp:lastModifiedBy>
  <cp:revision>5</cp:revision>
  <dcterms:created xsi:type="dcterms:W3CDTF">2021-04-02T15:36:00Z</dcterms:created>
  <dcterms:modified xsi:type="dcterms:W3CDTF">2021-04-07T12:15:00Z</dcterms:modified>
</cp:coreProperties>
</file>